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85FF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bookmarkStart w:id="0" w:name="_heading=h.u3w5c5bqkm65" w:colFirst="0" w:colLast="0"/>
      <w:bookmarkEnd w:id="0"/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Broj RKP-a: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02151</w:t>
      </w:r>
    </w:p>
    <w:p w14:paraId="5349477A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 xml:space="preserve">Matični broj: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3334317</w:t>
      </w:r>
    </w:p>
    <w:p w14:paraId="3D47E3DE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 xml:space="preserve">OIB: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46319717480</w:t>
      </w:r>
    </w:p>
    <w:p w14:paraId="09FD9F9B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Pošta i mjesto: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51000 RIJEKA</w:t>
      </w:r>
    </w:p>
    <w:p w14:paraId="61E0BC9F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Ulica i kućni broj: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Vukovarska 58</w:t>
      </w:r>
    </w:p>
    <w:p w14:paraId="05B10C43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 xml:space="preserve">Razina: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11</w:t>
      </w:r>
    </w:p>
    <w:p w14:paraId="74301A6A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 xml:space="preserve">Šifra djelatnosti: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8542</w:t>
      </w:r>
    </w:p>
    <w:p w14:paraId="7472378F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 xml:space="preserve">Razdjel: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080</w:t>
      </w:r>
    </w:p>
    <w:p w14:paraId="5CCA6E3F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Šifra grada/opć.: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ab/>
        <w:t>373</w:t>
      </w:r>
    </w:p>
    <w:p w14:paraId="5CF4461E" w14:textId="66F866F9" w:rsidR="0006773D" w:rsidRDefault="0006773D" w:rsidP="0006773D">
      <w:pPr>
        <w:rPr>
          <w:rFonts w:ascii="Arial" w:eastAsiaTheme="minorHAnsi" w:hAnsi="Arial" w:cs="Arial"/>
          <w:b/>
          <w:lang w:eastAsia="en-US"/>
        </w:rPr>
      </w:pPr>
    </w:p>
    <w:p w14:paraId="629353DE" w14:textId="77777777" w:rsidR="00ED174C" w:rsidRPr="0006773D" w:rsidRDefault="00ED174C" w:rsidP="0006773D">
      <w:pPr>
        <w:rPr>
          <w:rFonts w:ascii="Arial" w:eastAsiaTheme="minorHAnsi" w:hAnsi="Arial" w:cs="Arial"/>
          <w:b/>
          <w:lang w:eastAsia="en-US"/>
        </w:rPr>
      </w:pPr>
    </w:p>
    <w:p w14:paraId="2232E7EF" w14:textId="4811E35A" w:rsidR="0006773D" w:rsidRPr="0006773D" w:rsidRDefault="0006773D" w:rsidP="0006773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OBRA</w:t>
      </w:r>
      <w:r w:rsidR="0011426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ZLOŽENJE OPĆEG DIJELA IZMJENA I DOPUNA</w:t>
      </w: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FINANCIJSKOG PLANA </w:t>
      </w:r>
    </w:p>
    <w:p w14:paraId="15F8790B" w14:textId="5AC9C271" w:rsidR="0006773D" w:rsidRPr="0006773D" w:rsidRDefault="003D1FFB" w:rsidP="0006773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 2025</w:t>
      </w:r>
      <w:r w:rsidR="0011426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6773D"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god.</w:t>
      </w:r>
    </w:p>
    <w:p w14:paraId="78485DD4" w14:textId="77777777" w:rsidR="0006773D" w:rsidRPr="0006773D" w:rsidRDefault="0006773D" w:rsidP="0006773D">
      <w:pPr>
        <w:spacing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448F1F" w14:textId="38AC18F2" w:rsidR="0006773D" w:rsidRPr="0006773D" w:rsidRDefault="00422DAC" w:rsidP="0006773D">
      <w:pPr>
        <w:spacing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Skladno članku 36.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Zakona o proračunu (NN 144/21) proračunski korisnik Sveučilište u Rijeci – Tehničk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 fakultet sastavio je Izmjene i d</w:t>
      </w:r>
      <w:r w:rsidR="003D1FFB">
        <w:rPr>
          <w:rFonts w:ascii="Times New Roman" w:eastAsiaTheme="minorHAnsi" w:hAnsi="Times New Roman" w:cs="Times New Roman"/>
          <w:sz w:val="24"/>
          <w:szCs w:val="24"/>
          <w:lang w:eastAsia="en-US"/>
        </w:rPr>
        <w:t>opune financijskog plana za 2025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god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 s obrazloženjem općeg dijela financijskog plana. Prema oba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vijesti Ministarstva znanosti, 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obrazovanja 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 mladih </w:t>
      </w:r>
      <w:r w:rsidR="003D1FFB">
        <w:rPr>
          <w:rFonts w:ascii="Times New Roman" w:eastAsiaTheme="minorHAnsi" w:hAnsi="Times New Roman" w:cs="Times New Roman"/>
          <w:sz w:val="24"/>
          <w:szCs w:val="24"/>
          <w:lang w:eastAsia="en-US"/>
        </w:rPr>
        <w:t>od 0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>2.2025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>., o zadanim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limit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>im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u financijskom planu proračunskog korisnika Sveučilište u 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>Rijeci – Tehnički fakultet,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izvršeno je usklađenje 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Izmjena i dopuna 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financijsko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>g plana za 2025</w:t>
      </w:r>
      <w:r w:rsidR="004D54F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god.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usvojenim državnim proračunom</w:t>
      </w:r>
    </w:p>
    <w:p w14:paraId="60334A89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ovom obrazloženju daje se opća slika financijskog plana kroz obrazloženje ukupnih prihoda i primitaka po vrstama, rashoda i izdataka razvrstanih prema proračunskim klasifikacijama, prijenosa sredstava iz prethodne u sljedeću godinu te stanje ukupnih i dospjelih obveza. </w:t>
      </w:r>
    </w:p>
    <w:p w14:paraId="2ABF6567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BA1EF05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PRIHODI I PRIMICI</w:t>
      </w:r>
    </w:p>
    <w:p w14:paraId="5E5B5B0C" w14:textId="50521F52" w:rsidR="0006773D" w:rsidRPr="0006773D" w:rsidRDefault="0006773D" w:rsidP="0006773D">
      <w:pPr>
        <w:spacing w:line="276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="00F73403">
        <w:rPr>
          <w:rFonts w:ascii="Times New Roman" w:eastAsiaTheme="minorHAnsi" w:hAnsi="Times New Roman" w:cs="Times New Roman"/>
          <w:sz w:val="24"/>
          <w:szCs w:val="24"/>
          <w:lang w:eastAsia="en-US"/>
        </w:rPr>
        <w:t>ehnički fakultet u Rijeci u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p</w:t>
      </w:r>
      <w:r w:rsidR="00FF1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lanira ukupne prihode u iznosu </w:t>
      </w:r>
      <w:r w:rsidR="006F4FDC">
        <w:rPr>
          <w:rFonts w:ascii="Times New Roman" w:eastAsiaTheme="minorHAnsi" w:hAnsi="Times New Roman" w:cs="Times New Roman"/>
          <w:sz w:val="24"/>
          <w:szCs w:val="24"/>
          <w:lang w:eastAsia="en-US"/>
        </w:rPr>
        <w:t>10.900.898</w:t>
      </w:r>
      <w:r w:rsidR="00FF1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1C0B918" w14:textId="70EAA5C9" w:rsidR="0006773D" w:rsidRDefault="0006773D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Tehnički fakultet ostvaruje prihode iz nadležnog proračuna za financiranje redovne djelatnosti na </w:t>
      </w: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podskupini 671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odnosno iz izvora </w:t>
      </w:r>
      <w:r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11 - opći prihodi i primici</w:t>
      </w:r>
      <w:r w:rsidRPr="0006773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Općim prihodima i p</w:t>
      </w:r>
      <w:r w:rsidR="006F4FDC">
        <w:rPr>
          <w:rFonts w:ascii="Times New Roman" w:eastAsiaTheme="minorHAnsi" w:hAnsi="Times New Roman" w:cs="Times New Roman"/>
          <w:sz w:val="24"/>
          <w:szCs w:val="24"/>
          <w:lang w:eastAsia="en-US"/>
        </w:rPr>
        <w:t>rimicima financirat će se u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aktivnost redovne djelatnosti fakulteta (A621002) u iznosu </w:t>
      </w:r>
      <w:r w:rsidR="006F4FDC">
        <w:rPr>
          <w:rFonts w:ascii="Times New Roman" w:eastAsiaTheme="minorHAnsi" w:hAnsi="Times New Roman" w:cs="Times New Roman"/>
          <w:sz w:val="24"/>
          <w:szCs w:val="24"/>
          <w:lang w:eastAsia="en-US"/>
        </w:rPr>
        <w:t>8.138.264 eura</w:t>
      </w:r>
      <w:r w:rsidR="00FF1C18">
        <w:rPr>
          <w:rFonts w:ascii="Times New Roman" w:eastAsiaTheme="minorHAnsi" w:hAnsi="Times New Roman" w:cs="Times New Roman"/>
          <w:sz w:val="24"/>
          <w:szCs w:val="24"/>
          <w:lang w:eastAsia="en-US"/>
        </w:rPr>
        <w:t>, aktivnost stipendija i školarina za doktorski studij (A621183) u iznosu 2.</w:t>
      </w:r>
      <w:r w:rsidR="006F4FDC">
        <w:rPr>
          <w:rFonts w:ascii="Times New Roman" w:eastAsiaTheme="minorHAnsi" w:hAnsi="Times New Roman" w:cs="Times New Roman"/>
          <w:sz w:val="24"/>
          <w:szCs w:val="24"/>
          <w:lang w:eastAsia="en-US"/>
        </w:rPr>
        <w:t>156</w:t>
      </w:r>
      <w:r w:rsidR="00FF1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 programsko financiranje nastavne i znanstvene djelatnosti (A622122) u iznosu </w:t>
      </w:r>
      <w:r w:rsidR="006F4FDC">
        <w:rPr>
          <w:rFonts w:ascii="Times New Roman" w:eastAsiaTheme="minorHAnsi" w:hAnsi="Times New Roman" w:cs="Times New Roman"/>
          <w:sz w:val="24"/>
          <w:szCs w:val="24"/>
          <w:lang w:eastAsia="en-US"/>
        </w:rPr>
        <w:t>545.798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eura. </w:t>
      </w:r>
      <w:r w:rsidR="00432A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okviru iste aktivnosti (A622122) planiraju se i sredstva za institucijske </w:t>
      </w:r>
      <w:r w:rsidR="00432A5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istraživačke projekte koji su dio novog Programskog ugovora, a financiraju se iz NPOO-a u iznosu 168.445 eura.</w:t>
      </w:r>
    </w:p>
    <w:p w14:paraId="6B4532FF" w14:textId="217700EC" w:rsidR="00432A5E" w:rsidRPr="00432A5E" w:rsidRDefault="00432A5E" w:rsidP="00432A5E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2A5E">
        <w:rPr>
          <w:rFonts w:ascii="Times New Roman" w:hAnsi="Times New Roman" w:cs="Times New Roman"/>
          <w:sz w:val="24"/>
          <w:szCs w:val="24"/>
        </w:rPr>
        <w:t>Nadalje, prema Uputi Ministarstva znanosti, obr</w:t>
      </w:r>
      <w:r>
        <w:rPr>
          <w:rFonts w:ascii="Times New Roman" w:hAnsi="Times New Roman" w:cs="Times New Roman"/>
          <w:sz w:val="24"/>
          <w:szCs w:val="24"/>
        </w:rPr>
        <w:t>azovanja i mladih</w:t>
      </w:r>
      <w:r w:rsidRPr="00432A5E">
        <w:rPr>
          <w:rFonts w:ascii="Times New Roman" w:hAnsi="Times New Roman" w:cs="Times New Roman"/>
          <w:sz w:val="24"/>
          <w:szCs w:val="24"/>
        </w:rPr>
        <w:t xml:space="preserve">, fakultet je dužan na </w:t>
      </w:r>
      <w:r w:rsidRPr="00432A5E">
        <w:rPr>
          <w:rFonts w:ascii="Times New Roman" w:hAnsi="Times New Roman" w:cs="Times New Roman"/>
          <w:b/>
          <w:sz w:val="24"/>
          <w:szCs w:val="24"/>
        </w:rPr>
        <w:t>podskupini 671</w:t>
      </w:r>
      <w:r w:rsidRPr="00432A5E">
        <w:rPr>
          <w:rFonts w:ascii="Times New Roman" w:hAnsi="Times New Roman" w:cs="Times New Roman"/>
          <w:sz w:val="24"/>
          <w:szCs w:val="24"/>
        </w:rPr>
        <w:t xml:space="preserve"> planirati prihode iz nadležnog proračuna za sredstva EU pomoći koja se uplaćuju na račun državnog proračuna,  iz izvora </w:t>
      </w:r>
      <w:r w:rsidRPr="00432A5E">
        <w:rPr>
          <w:rFonts w:ascii="Times New Roman" w:hAnsi="Times New Roman" w:cs="Times New Roman"/>
          <w:b/>
          <w:i/>
          <w:sz w:val="24"/>
          <w:szCs w:val="24"/>
        </w:rPr>
        <w:t>581 – prihodi iz nadležnog proračuna – tek. pom. od instit. tijela EU – Mehanizam za oporavak i otpornost</w:t>
      </w:r>
      <w:r w:rsidRPr="00432A5E">
        <w:rPr>
          <w:rFonts w:ascii="Times New Roman" w:hAnsi="Times New Roman" w:cs="Times New Roman"/>
          <w:sz w:val="24"/>
          <w:szCs w:val="24"/>
        </w:rPr>
        <w:t xml:space="preserve"> u iznosu </w:t>
      </w:r>
      <w:r w:rsidR="0050494D">
        <w:rPr>
          <w:rFonts w:ascii="Times New Roman" w:hAnsi="Times New Roman" w:cs="Times New Roman"/>
          <w:sz w:val="24"/>
          <w:szCs w:val="24"/>
        </w:rPr>
        <w:t>73.500 eura u 2025. god.</w:t>
      </w:r>
    </w:p>
    <w:p w14:paraId="0243FB63" w14:textId="70A26E0B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716"/>
        <w:gridCol w:w="1180"/>
        <w:gridCol w:w="3118"/>
      </w:tblGrid>
      <w:tr w:rsidR="00CD1BC7" w:rsidRPr="0006773D" w14:paraId="2A3608D2" w14:textId="77777777" w:rsidTr="00432A5E">
        <w:tc>
          <w:tcPr>
            <w:tcW w:w="1378" w:type="dxa"/>
            <w:shd w:val="clear" w:color="auto" w:fill="auto"/>
          </w:tcPr>
          <w:p w14:paraId="44A8554E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08DD77C2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716" w:type="dxa"/>
            <w:shd w:val="clear" w:color="auto" w:fill="auto"/>
          </w:tcPr>
          <w:p w14:paraId="3347FD48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1180" w:type="dxa"/>
          </w:tcPr>
          <w:p w14:paraId="6BCC88A6" w14:textId="5001765B" w:rsidR="00CD1BC7" w:rsidRPr="0006773D" w:rsidRDefault="006F4FDC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Plan 2025</w:t>
            </w:r>
            <w:r w:rsidR="00CD1BC7"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8" w:type="dxa"/>
            <w:shd w:val="clear" w:color="auto" w:fill="auto"/>
          </w:tcPr>
          <w:p w14:paraId="20A32BD0" w14:textId="45DA9421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 w:rsidR="006F4F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CD1BC7" w:rsidRPr="0006773D" w14:paraId="38B1D5DA" w14:textId="77777777" w:rsidTr="00432A5E">
        <w:tc>
          <w:tcPr>
            <w:tcW w:w="1378" w:type="dxa"/>
            <w:shd w:val="clear" w:color="auto" w:fill="auto"/>
          </w:tcPr>
          <w:p w14:paraId="75FD387A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42" w:type="dxa"/>
          </w:tcPr>
          <w:p w14:paraId="0E6C9882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621002</w:t>
            </w:r>
          </w:p>
        </w:tc>
        <w:tc>
          <w:tcPr>
            <w:tcW w:w="2716" w:type="dxa"/>
            <w:shd w:val="clear" w:color="auto" w:fill="auto"/>
          </w:tcPr>
          <w:p w14:paraId="77237430" w14:textId="77777777" w:rsidR="00CD1BC7" w:rsidRPr="0006773D" w:rsidRDefault="00CD1BC7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djelatnost SuRi</w:t>
            </w:r>
          </w:p>
        </w:tc>
        <w:tc>
          <w:tcPr>
            <w:tcW w:w="1180" w:type="dxa"/>
          </w:tcPr>
          <w:p w14:paraId="262D41C9" w14:textId="64FA6452" w:rsidR="00CD1BC7" w:rsidRPr="0006773D" w:rsidRDefault="006F4FDC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7.357.707</w:t>
            </w:r>
          </w:p>
        </w:tc>
        <w:tc>
          <w:tcPr>
            <w:tcW w:w="3118" w:type="dxa"/>
            <w:shd w:val="clear" w:color="auto" w:fill="auto"/>
          </w:tcPr>
          <w:p w14:paraId="314188AC" w14:textId="571877A2" w:rsidR="00CD1BC7" w:rsidRPr="0006773D" w:rsidRDefault="006F4FDC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8.138.264</w:t>
            </w:r>
          </w:p>
        </w:tc>
      </w:tr>
      <w:tr w:rsidR="006F4FDC" w:rsidRPr="0006773D" w14:paraId="441EE16B" w14:textId="77777777" w:rsidTr="00432A5E">
        <w:tc>
          <w:tcPr>
            <w:tcW w:w="1378" w:type="dxa"/>
            <w:shd w:val="clear" w:color="auto" w:fill="auto"/>
          </w:tcPr>
          <w:p w14:paraId="3EB96B94" w14:textId="7FEC664C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42" w:type="dxa"/>
          </w:tcPr>
          <w:p w14:paraId="6A60D1D9" w14:textId="170BAF46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622122</w:t>
            </w:r>
          </w:p>
        </w:tc>
        <w:tc>
          <w:tcPr>
            <w:tcW w:w="2716" w:type="dxa"/>
            <w:shd w:val="clear" w:color="auto" w:fill="auto"/>
          </w:tcPr>
          <w:p w14:paraId="1F5F5DCE" w14:textId="2E51DEFD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Progr. financ. jav.VU</w:t>
            </w:r>
          </w:p>
        </w:tc>
        <w:tc>
          <w:tcPr>
            <w:tcW w:w="1180" w:type="dxa"/>
          </w:tcPr>
          <w:p w14:paraId="289E77DC" w14:textId="73332507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459.067</w:t>
            </w:r>
          </w:p>
        </w:tc>
        <w:tc>
          <w:tcPr>
            <w:tcW w:w="3118" w:type="dxa"/>
            <w:shd w:val="clear" w:color="auto" w:fill="auto"/>
          </w:tcPr>
          <w:p w14:paraId="62690C76" w14:textId="0C2072F6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545.798</w:t>
            </w:r>
          </w:p>
        </w:tc>
      </w:tr>
      <w:tr w:rsidR="00432A5E" w:rsidRPr="0006773D" w14:paraId="4BB9F7DA" w14:textId="77777777" w:rsidTr="00432A5E">
        <w:tc>
          <w:tcPr>
            <w:tcW w:w="1378" w:type="dxa"/>
            <w:shd w:val="clear" w:color="auto" w:fill="auto"/>
          </w:tcPr>
          <w:p w14:paraId="53319012" w14:textId="211EAC16" w:rsidR="00432A5E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1242" w:type="dxa"/>
          </w:tcPr>
          <w:p w14:paraId="2F70DE67" w14:textId="3DF2D6DD" w:rsidR="00432A5E" w:rsidRPr="0006773D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622122</w:t>
            </w:r>
          </w:p>
        </w:tc>
        <w:tc>
          <w:tcPr>
            <w:tcW w:w="2716" w:type="dxa"/>
            <w:shd w:val="clear" w:color="auto" w:fill="auto"/>
          </w:tcPr>
          <w:p w14:paraId="1810E36C" w14:textId="58BCE63B" w:rsidR="00432A5E" w:rsidRPr="0006773D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Progr. financ. J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VU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-UniRi instituc. istraživ. projekti</w:t>
            </w:r>
          </w:p>
        </w:tc>
        <w:tc>
          <w:tcPr>
            <w:tcW w:w="1180" w:type="dxa"/>
          </w:tcPr>
          <w:p w14:paraId="5AF15D15" w14:textId="6DAC4416" w:rsidR="00432A5E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788CC6F7" w14:textId="6AF82270" w:rsidR="00432A5E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168.445</w:t>
            </w:r>
          </w:p>
        </w:tc>
      </w:tr>
      <w:tr w:rsidR="006F4FDC" w:rsidRPr="0006773D" w14:paraId="4D1228A7" w14:textId="77777777" w:rsidTr="00432A5E">
        <w:tc>
          <w:tcPr>
            <w:tcW w:w="1378" w:type="dxa"/>
            <w:shd w:val="clear" w:color="auto" w:fill="auto"/>
          </w:tcPr>
          <w:p w14:paraId="77E36D60" w14:textId="3250FD9D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42" w:type="dxa"/>
          </w:tcPr>
          <w:p w14:paraId="6AE7F183" w14:textId="16F2CC7F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621183</w:t>
            </w:r>
          </w:p>
        </w:tc>
        <w:tc>
          <w:tcPr>
            <w:tcW w:w="2716" w:type="dxa"/>
            <w:shd w:val="clear" w:color="auto" w:fill="auto"/>
          </w:tcPr>
          <w:p w14:paraId="5F290F52" w14:textId="00C66F56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Stip. i škol. za dok.studij</w:t>
            </w:r>
          </w:p>
        </w:tc>
        <w:tc>
          <w:tcPr>
            <w:tcW w:w="1180" w:type="dxa"/>
          </w:tcPr>
          <w:p w14:paraId="453DA9CF" w14:textId="58FB13A1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69A84F0D" w14:textId="4F2028F0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2.156</w:t>
            </w:r>
          </w:p>
        </w:tc>
      </w:tr>
      <w:tr w:rsidR="006F4FDC" w:rsidRPr="0006773D" w14:paraId="5D0F2DD4" w14:textId="77777777" w:rsidTr="00432A5E">
        <w:tc>
          <w:tcPr>
            <w:tcW w:w="1378" w:type="dxa"/>
            <w:shd w:val="clear" w:color="auto" w:fill="auto"/>
          </w:tcPr>
          <w:p w14:paraId="1965E536" w14:textId="4F635F3A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</w:t>
            </w: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2" w:type="dxa"/>
          </w:tcPr>
          <w:p w14:paraId="75171A5C" w14:textId="5D49428C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K 679128</w:t>
            </w:r>
          </w:p>
        </w:tc>
        <w:tc>
          <w:tcPr>
            <w:tcW w:w="2716" w:type="dxa"/>
            <w:shd w:val="clear" w:color="auto" w:fill="auto"/>
          </w:tcPr>
          <w:p w14:paraId="125B4225" w14:textId="106CCB21" w:rsidR="006F4FDC" w:rsidRPr="0006773D" w:rsidRDefault="006F4FDC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Poboljšanje učinkovitosti jav. ulaganja na podr. istraživanja, razvoja i inov.- NPOO</w:t>
            </w:r>
          </w:p>
        </w:tc>
        <w:tc>
          <w:tcPr>
            <w:tcW w:w="1180" w:type="dxa"/>
          </w:tcPr>
          <w:p w14:paraId="52054FB2" w14:textId="664C6956" w:rsidR="006F4FDC" w:rsidRPr="0006773D" w:rsidRDefault="00432A5E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86.198</w:t>
            </w:r>
          </w:p>
        </w:tc>
        <w:tc>
          <w:tcPr>
            <w:tcW w:w="3118" w:type="dxa"/>
            <w:shd w:val="clear" w:color="auto" w:fill="auto"/>
          </w:tcPr>
          <w:p w14:paraId="30CF39BB" w14:textId="25D76418" w:rsidR="006F4FDC" w:rsidRPr="0006773D" w:rsidRDefault="0050494D" w:rsidP="006F4F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73.500</w:t>
            </w:r>
          </w:p>
        </w:tc>
      </w:tr>
    </w:tbl>
    <w:p w14:paraId="2A5E13BB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27AE1E" w14:textId="52E5F8D1" w:rsidR="0006773D" w:rsidRDefault="0050494D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Fakultet planira u 2025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ostvariti prihode od pruženih usluga primjerice kroz stručne projekte za gospodarstvo na </w:t>
      </w:r>
      <w:r w:rsidR="0006773D"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podskupini 661</w:t>
      </w:r>
      <w:r w:rsidR="005353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iznosu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210.000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i prihode od financijske imovine na </w:t>
      </w:r>
      <w:r w:rsidR="0006773D"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podskupini 641 </w:t>
      </w:r>
      <w:r w:rsidR="005353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iznosu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37.403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a pripadaju izvoru </w:t>
      </w:r>
      <w:r w:rsidR="0006773D"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31 - vlastiti prihodi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45FA5E1C" w14:textId="77777777" w:rsidR="0053534D" w:rsidRPr="0006773D" w:rsidRDefault="0053534D" w:rsidP="0053534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3118"/>
      </w:tblGrid>
      <w:tr w:rsidR="0053534D" w:rsidRPr="0006773D" w14:paraId="45B8C46D" w14:textId="77777777" w:rsidTr="0053534D">
        <w:tc>
          <w:tcPr>
            <w:tcW w:w="1378" w:type="dxa"/>
            <w:shd w:val="clear" w:color="auto" w:fill="auto"/>
          </w:tcPr>
          <w:p w14:paraId="6B4FB626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6C0BB661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18609AB5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1418" w:type="dxa"/>
          </w:tcPr>
          <w:p w14:paraId="4D1BC1C8" w14:textId="3E4451C0" w:rsidR="0053534D" w:rsidRPr="0006773D" w:rsidRDefault="005049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Plan 2025</w:t>
            </w:r>
            <w:r w:rsidR="0053534D"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8" w:type="dxa"/>
            <w:shd w:val="clear" w:color="auto" w:fill="auto"/>
          </w:tcPr>
          <w:p w14:paraId="3CE6000E" w14:textId="03F65C28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 w:rsidR="005049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53534D" w:rsidRPr="0006773D" w14:paraId="160C32C2" w14:textId="77777777" w:rsidTr="0053534D">
        <w:tc>
          <w:tcPr>
            <w:tcW w:w="1378" w:type="dxa"/>
            <w:shd w:val="clear" w:color="auto" w:fill="auto"/>
          </w:tcPr>
          <w:p w14:paraId="5C545DE4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42" w:type="dxa"/>
          </w:tcPr>
          <w:p w14:paraId="2BA2DAEE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78" w:type="dxa"/>
            <w:shd w:val="clear" w:color="auto" w:fill="auto"/>
          </w:tcPr>
          <w:p w14:paraId="21B5B3E8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418" w:type="dxa"/>
          </w:tcPr>
          <w:p w14:paraId="52C37DC8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250.000</w:t>
            </w:r>
          </w:p>
        </w:tc>
        <w:tc>
          <w:tcPr>
            <w:tcW w:w="3118" w:type="dxa"/>
            <w:shd w:val="clear" w:color="auto" w:fill="auto"/>
          </w:tcPr>
          <w:p w14:paraId="30BD4BD5" w14:textId="72FE538B" w:rsidR="0053534D" w:rsidRPr="0006773D" w:rsidRDefault="0050494D" w:rsidP="005049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210.000</w:t>
            </w:r>
          </w:p>
        </w:tc>
      </w:tr>
      <w:tr w:rsidR="0053534D" w:rsidRPr="0006773D" w14:paraId="5A59C0B2" w14:textId="77777777" w:rsidTr="0053534D">
        <w:tc>
          <w:tcPr>
            <w:tcW w:w="1378" w:type="dxa"/>
            <w:shd w:val="clear" w:color="auto" w:fill="auto"/>
          </w:tcPr>
          <w:p w14:paraId="6D03E948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42" w:type="dxa"/>
          </w:tcPr>
          <w:p w14:paraId="4A1960D2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78" w:type="dxa"/>
            <w:shd w:val="clear" w:color="auto" w:fill="auto"/>
          </w:tcPr>
          <w:p w14:paraId="4AA44742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418" w:type="dxa"/>
          </w:tcPr>
          <w:p w14:paraId="1B4E8931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55.000</w:t>
            </w:r>
          </w:p>
        </w:tc>
        <w:tc>
          <w:tcPr>
            <w:tcW w:w="3118" w:type="dxa"/>
            <w:shd w:val="clear" w:color="auto" w:fill="auto"/>
          </w:tcPr>
          <w:p w14:paraId="2EF1EAF4" w14:textId="5817D9B5" w:rsidR="0053534D" w:rsidRPr="0006773D" w:rsidRDefault="005049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37.403</w:t>
            </w:r>
          </w:p>
        </w:tc>
      </w:tr>
    </w:tbl>
    <w:p w14:paraId="40424D2C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A976906" w14:textId="097E47C6" w:rsidR="0006773D" w:rsidRDefault="0006773D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Prihodi po posebnim propisima na </w:t>
      </w: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podskupini 652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, koje f</w:t>
      </w:r>
      <w:r w:rsidR="0050494D">
        <w:rPr>
          <w:rFonts w:ascii="Times New Roman" w:eastAsiaTheme="minorHAnsi" w:hAnsi="Times New Roman" w:cs="Times New Roman"/>
          <w:sz w:val="24"/>
          <w:szCs w:val="24"/>
          <w:lang w:eastAsia="en-US"/>
        </w:rPr>
        <w:t>akultet planira ostvariti u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iz izvora </w:t>
      </w:r>
      <w:r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43 - ostali prihodi za posebne namjene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odnose se na sufinanciranje cijene usluge i participaciju školarina u iznosu </w:t>
      </w:r>
      <w:r w:rsidR="0050494D">
        <w:rPr>
          <w:rFonts w:ascii="Times New Roman" w:eastAsiaTheme="minorHAnsi" w:hAnsi="Times New Roman" w:cs="Times New Roman"/>
          <w:sz w:val="24"/>
          <w:szCs w:val="24"/>
          <w:lang w:eastAsia="en-US"/>
        </w:rPr>
        <w:t>541.814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prihode s naslova refundacije štete u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iznosu 3.000 eura i ostale prihode za posebne namjene (prethodni zdravstveni pregledi refundirani od HZZO</w:t>
      </w:r>
      <w:r w:rsidR="005353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prihodi za projekte Zaklade </w:t>
      </w:r>
      <w:r w:rsidR="0050494D">
        <w:rPr>
          <w:rFonts w:ascii="Times New Roman" w:eastAsiaTheme="minorHAnsi" w:hAnsi="Times New Roman" w:cs="Times New Roman"/>
          <w:sz w:val="24"/>
          <w:szCs w:val="24"/>
          <w:lang w:eastAsia="en-US"/>
        </w:rPr>
        <w:t>Sveučilišta u Rijeci) u iznosu 5</w:t>
      </w:r>
      <w:r w:rsidR="0053534D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00 eura. </w:t>
      </w:r>
    </w:p>
    <w:p w14:paraId="5ED72FC8" w14:textId="77777777" w:rsidR="0053534D" w:rsidRPr="0006773D" w:rsidRDefault="0053534D" w:rsidP="0053534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3118"/>
      </w:tblGrid>
      <w:tr w:rsidR="0053534D" w:rsidRPr="0006773D" w14:paraId="5D5AD790" w14:textId="77777777" w:rsidTr="0053534D">
        <w:tc>
          <w:tcPr>
            <w:tcW w:w="1378" w:type="dxa"/>
            <w:shd w:val="clear" w:color="auto" w:fill="auto"/>
          </w:tcPr>
          <w:p w14:paraId="2DA4F56E" w14:textId="77777777" w:rsidR="0053534D" w:rsidRPr="0006773D" w:rsidRDefault="0053534D" w:rsidP="005353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2C68462B" w14:textId="77777777" w:rsidR="0053534D" w:rsidRPr="0006773D" w:rsidRDefault="0053534D" w:rsidP="005353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3758A4DB" w14:textId="77777777" w:rsidR="0053534D" w:rsidRPr="0006773D" w:rsidRDefault="0053534D" w:rsidP="005353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1418" w:type="dxa"/>
          </w:tcPr>
          <w:p w14:paraId="5EB9391A" w14:textId="17754A21" w:rsidR="0053534D" w:rsidRPr="0006773D" w:rsidRDefault="0050494D" w:rsidP="005353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Plan 2025</w:t>
            </w:r>
            <w:r w:rsidR="0053534D"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8" w:type="dxa"/>
            <w:shd w:val="clear" w:color="auto" w:fill="auto"/>
          </w:tcPr>
          <w:p w14:paraId="02D08898" w14:textId="49120344" w:rsidR="0053534D" w:rsidRPr="0006773D" w:rsidRDefault="0053534D" w:rsidP="0053534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 w:rsidR="005049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53534D" w:rsidRPr="0006773D" w14:paraId="5573BFE5" w14:textId="77777777" w:rsidTr="0053534D">
        <w:tc>
          <w:tcPr>
            <w:tcW w:w="1378" w:type="dxa"/>
            <w:shd w:val="clear" w:color="auto" w:fill="auto"/>
          </w:tcPr>
          <w:p w14:paraId="010C86FC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42" w:type="dxa"/>
          </w:tcPr>
          <w:p w14:paraId="58A31297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78" w:type="dxa"/>
            <w:shd w:val="clear" w:color="auto" w:fill="auto"/>
          </w:tcPr>
          <w:p w14:paraId="030D08AC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418" w:type="dxa"/>
          </w:tcPr>
          <w:p w14:paraId="261256F3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580.000</w:t>
            </w:r>
          </w:p>
        </w:tc>
        <w:tc>
          <w:tcPr>
            <w:tcW w:w="3118" w:type="dxa"/>
            <w:shd w:val="clear" w:color="auto" w:fill="auto"/>
          </w:tcPr>
          <w:p w14:paraId="289E5F0E" w14:textId="66CE4479" w:rsidR="0053534D" w:rsidRPr="0006773D" w:rsidRDefault="005049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541.814</w:t>
            </w:r>
          </w:p>
        </w:tc>
      </w:tr>
      <w:tr w:rsidR="0053534D" w:rsidRPr="0006773D" w14:paraId="262572C4" w14:textId="77777777" w:rsidTr="0053534D">
        <w:tc>
          <w:tcPr>
            <w:tcW w:w="1378" w:type="dxa"/>
            <w:shd w:val="clear" w:color="auto" w:fill="auto"/>
          </w:tcPr>
          <w:p w14:paraId="549593B9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42" w:type="dxa"/>
          </w:tcPr>
          <w:p w14:paraId="095110C1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78" w:type="dxa"/>
            <w:shd w:val="clear" w:color="auto" w:fill="auto"/>
          </w:tcPr>
          <w:p w14:paraId="05FC68D9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418" w:type="dxa"/>
          </w:tcPr>
          <w:p w14:paraId="3F4F112B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3.000</w:t>
            </w:r>
          </w:p>
        </w:tc>
        <w:tc>
          <w:tcPr>
            <w:tcW w:w="3118" w:type="dxa"/>
            <w:shd w:val="clear" w:color="auto" w:fill="auto"/>
          </w:tcPr>
          <w:p w14:paraId="57526B46" w14:textId="17DC0FB0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3.00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3534D" w:rsidRPr="0006773D" w14:paraId="6D5EA2B1" w14:textId="77777777" w:rsidTr="0053534D">
        <w:tc>
          <w:tcPr>
            <w:tcW w:w="1378" w:type="dxa"/>
            <w:shd w:val="clear" w:color="auto" w:fill="auto"/>
          </w:tcPr>
          <w:p w14:paraId="05B0A239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42" w:type="dxa"/>
          </w:tcPr>
          <w:p w14:paraId="644C1017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78" w:type="dxa"/>
            <w:shd w:val="clear" w:color="auto" w:fill="auto"/>
          </w:tcPr>
          <w:p w14:paraId="551222B6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418" w:type="dxa"/>
          </w:tcPr>
          <w:p w14:paraId="33CA9096" w14:textId="77777777" w:rsidR="0053534D" w:rsidRPr="0006773D" w:rsidRDefault="005353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3118" w:type="dxa"/>
            <w:shd w:val="clear" w:color="auto" w:fill="auto"/>
          </w:tcPr>
          <w:p w14:paraId="7D19969E" w14:textId="52120C64" w:rsidR="0053534D" w:rsidRPr="0006773D" w:rsidRDefault="0050494D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535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.000</w:t>
            </w:r>
          </w:p>
        </w:tc>
      </w:tr>
    </w:tbl>
    <w:p w14:paraId="62946406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CE209B" w14:textId="7D953843" w:rsidR="0006773D" w:rsidRPr="0006773D" w:rsidRDefault="0006773D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Podskupina 632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predstavlja prihode ostvarene iz izvora </w:t>
      </w:r>
      <w:r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51 - pomoći EU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, dakle pomoći od međunarodnih organizacija te institucija i tijela EU za provedbu projekata Horizon i Erasmus+. Na istoj poziciji Fakultet u 202</w:t>
      </w:r>
      <w:r w:rsidR="00A81A5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planira ostvariti ukupno </w:t>
      </w:r>
      <w:r w:rsidR="00A81A50">
        <w:rPr>
          <w:rFonts w:ascii="Times New Roman" w:eastAsiaTheme="minorHAnsi" w:hAnsi="Times New Roman" w:cs="Times New Roman"/>
          <w:sz w:val="24"/>
          <w:szCs w:val="24"/>
          <w:lang w:eastAsia="en-US"/>
        </w:rPr>
        <w:t>40.483</w:t>
      </w:r>
      <w:r w:rsidR="00EE57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BC5BFC4" w14:textId="77777777" w:rsidR="0006773D" w:rsidRPr="0006773D" w:rsidRDefault="0006773D" w:rsidP="0006773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3118"/>
      </w:tblGrid>
      <w:tr w:rsidR="00EE57AB" w:rsidRPr="0006773D" w14:paraId="68B33230" w14:textId="77777777" w:rsidTr="00EE57AB">
        <w:tc>
          <w:tcPr>
            <w:tcW w:w="1378" w:type="dxa"/>
            <w:shd w:val="clear" w:color="auto" w:fill="auto"/>
          </w:tcPr>
          <w:p w14:paraId="3C5A7395" w14:textId="77777777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7510E980" w14:textId="77777777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24DAD38E" w14:textId="77777777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418" w:type="dxa"/>
          </w:tcPr>
          <w:p w14:paraId="79F2B265" w14:textId="37F3EDB5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Plan </w:t>
            </w:r>
            <w:r w:rsidR="00A81A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8" w:type="dxa"/>
            <w:shd w:val="clear" w:color="auto" w:fill="auto"/>
          </w:tcPr>
          <w:p w14:paraId="6EB2B54A" w14:textId="35096E8D" w:rsidR="00EE57AB" w:rsidRPr="0006773D" w:rsidRDefault="00EE57AB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</w:t>
            </w:r>
            <w:r w:rsidR="00A81A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EE57AB" w:rsidRPr="0006773D" w14:paraId="758CD58C" w14:textId="77777777" w:rsidTr="00EE57AB">
        <w:tc>
          <w:tcPr>
            <w:tcW w:w="1378" w:type="dxa"/>
            <w:shd w:val="clear" w:color="auto" w:fill="auto"/>
          </w:tcPr>
          <w:p w14:paraId="3D995413" w14:textId="77777777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3E3B2150" w14:textId="77777777" w:rsidR="00EE57AB" w:rsidRPr="0006773D" w:rsidRDefault="00EE57AB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7D79CDAE" w14:textId="047A7FE2" w:rsidR="00EE57AB" w:rsidRPr="0006773D" w:rsidRDefault="00A81A50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BLISS</w:t>
            </w:r>
          </w:p>
        </w:tc>
        <w:tc>
          <w:tcPr>
            <w:tcW w:w="1418" w:type="dxa"/>
          </w:tcPr>
          <w:p w14:paraId="44D48153" w14:textId="26F37DB0" w:rsidR="00EE57AB" w:rsidRPr="0006773D" w:rsidRDefault="00A81A50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  <w:r w:rsidR="00EE57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118" w:type="dxa"/>
            <w:shd w:val="clear" w:color="auto" w:fill="auto"/>
          </w:tcPr>
          <w:p w14:paraId="27722366" w14:textId="4BBA5D83" w:rsidR="00EE57AB" w:rsidRPr="0006773D" w:rsidRDefault="00A81A50" w:rsidP="00EE57A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8.003</w:t>
            </w:r>
          </w:p>
        </w:tc>
      </w:tr>
      <w:tr w:rsidR="00A81A50" w:rsidRPr="0006773D" w14:paraId="47EF1742" w14:textId="77777777" w:rsidTr="00EE57AB">
        <w:tc>
          <w:tcPr>
            <w:tcW w:w="1378" w:type="dxa"/>
            <w:shd w:val="clear" w:color="auto" w:fill="auto"/>
          </w:tcPr>
          <w:p w14:paraId="1562B3FB" w14:textId="66325BFE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069F51E5" w14:textId="35001882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29156A07" w14:textId="6E19BB16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TSAAI</w:t>
            </w:r>
          </w:p>
        </w:tc>
        <w:tc>
          <w:tcPr>
            <w:tcW w:w="1418" w:type="dxa"/>
          </w:tcPr>
          <w:p w14:paraId="35914BFC" w14:textId="612A5846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14.000</w:t>
            </w:r>
          </w:p>
        </w:tc>
        <w:tc>
          <w:tcPr>
            <w:tcW w:w="3118" w:type="dxa"/>
            <w:shd w:val="clear" w:color="auto" w:fill="auto"/>
          </w:tcPr>
          <w:p w14:paraId="221CDA4A" w14:textId="5031511A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81A50" w:rsidRPr="0006773D" w14:paraId="7835D7E0" w14:textId="77777777" w:rsidTr="00EE57AB">
        <w:tc>
          <w:tcPr>
            <w:tcW w:w="1378" w:type="dxa"/>
            <w:shd w:val="clear" w:color="auto" w:fill="auto"/>
          </w:tcPr>
          <w:p w14:paraId="36E964D4" w14:textId="77777777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32CDF45B" w14:textId="77777777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22240AA5" w14:textId="56ACD863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INNO2MARE</w:t>
            </w:r>
          </w:p>
        </w:tc>
        <w:tc>
          <w:tcPr>
            <w:tcW w:w="1418" w:type="dxa"/>
          </w:tcPr>
          <w:p w14:paraId="5BB92FA3" w14:textId="0E5C5798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60.000</w:t>
            </w:r>
          </w:p>
        </w:tc>
        <w:tc>
          <w:tcPr>
            <w:tcW w:w="3118" w:type="dxa"/>
            <w:shd w:val="clear" w:color="auto" w:fill="auto"/>
          </w:tcPr>
          <w:p w14:paraId="6A6555EE" w14:textId="16866F2E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5.000</w:t>
            </w:r>
          </w:p>
        </w:tc>
      </w:tr>
      <w:tr w:rsidR="00A81A50" w:rsidRPr="0006773D" w14:paraId="6C12BE7C" w14:textId="77777777" w:rsidTr="00EE57AB">
        <w:tc>
          <w:tcPr>
            <w:tcW w:w="1378" w:type="dxa"/>
            <w:shd w:val="clear" w:color="auto" w:fill="auto"/>
          </w:tcPr>
          <w:p w14:paraId="44A7B2B9" w14:textId="77777777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708030E8" w14:textId="77777777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00E11BFC" w14:textId="4125ABB5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NAHV</w:t>
            </w:r>
          </w:p>
        </w:tc>
        <w:tc>
          <w:tcPr>
            <w:tcW w:w="1418" w:type="dxa"/>
          </w:tcPr>
          <w:p w14:paraId="56FB5502" w14:textId="719087CF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16.613</w:t>
            </w:r>
          </w:p>
        </w:tc>
        <w:tc>
          <w:tcPr>
            <w:tcW w:w="3118" w:type="dxa"/>
            <w:shd w:val="clear" w:color="auto" w:fill="auto"/>
          </w:tcPr>
          <w:p w14:paraId="02F90BFE" w14:textId="3B36D15A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81A50" w:rsidRPr="0006773D" w14:paraId="2EABB393" w14:textId="77777777" w:rsidTr="00EE57AB">
        <w:tc>
          <w:tcPr>
            <w:tcW w:w="1378" w:type="dxa"/>
            <w:shd w:val="clear" w:color="auto" w:fill="auto"/>
          </w:tcPr>
          <w:p w14:paraId="3272DB5B" w14:textId="379E82C7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7B55FE55" w14:textId="3121DE35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2D0AFFA3" w14:textId="6494CB16" w:rsidR="00A81A50" w:rsidRPr="0006773D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AISE</w:t>
            </w:r>
          </w:p>
        </w:tc>
        <w:tc>
          <w:tcPr>
            <w:tcW w:w="1418" w:type="dxa"/>
          </w:tcPr>
          <w:p w14:paraId="19FDD454" w14:textId="2FC28A94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14.666</w:t>
            </w:r>
          </w:p>
        </w:tc>
        <w:tc>
          <w:tcPr>
            <w:tcW w:w="3118" w:type="dxa"/>
            <w:shd w:val="clear" w:color="auto" w:fill="auto"/>
          </w:tcPr>
          <w:p w14:paraId="39C75243" w14:textId="0812889E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81A50" w:rsidRPr="0006773D" w14:paraId="703D9DEE" w14:textId="77777777" w:rsidTr="00EE57AB">
        <w:tc>
          <w:tcPr>
            <w:tcW w:w="1378" w:type="dxa"/>
            <w:shd w:val="clear" w:color="auto" w:fill="auto"/>
          </w:tcPr>
          <w:p w14:paraId="2B1831BA" w14:textId="49E42BC8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5A3876AC" w14:textId="546701AF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432D96FA" w14:textId="73DB4B1E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TAI</w:t>
            </w:r>
          </w:p>
        </w:tc>
        <w:tc>
          <w:tcPr>
            <w:tcW w:w="1418" w:type="dxa"/>
          </w:tcPr>
          <w:p w14:paraId="4705BD47" w14:textId="0BBC5178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14.500</w:t>
            </w:r>
          </w:p>
        </w:tc>
        <w:tc>
          <w:tcPr>
            <w:tcW w:w="3118" w:type="dxa"/>
            <w:shd w:val="clear" w:color="auto" w:fill="auto"/>
          </w:tcPr>
          <w:p w14:paraId="423B1912" w14:textId="1FF7634D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9.000</w:t>
            </w:r>
          </w:p>
        </w:tc>
      </w:tr>
      <w:tr w:rsidR="00A81A50" w:rsidRPr="0006773D" w14:paraId="73811AEB" w14:textId="77777777" w:rsidTr="00EE57AB">
        <w:tc>
          <w:tcPr>
            <w:tcW w:w="1378" w:type="dxa"/>
            <w:shd w:val="clear" w:color="auto" w:fill="auto"/>
          </w:tcPr>
          <w:p w14:paraId="2AC1789F" w14:textId="3085DB5E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</w:tcPr>
          <w:p w14:paraId="5B3D3ABC" w14:textId="1A3D7506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5703295E" w14:textId="60F293B6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TRAINEE</w:t>
            </w:r>
          </w:p>
        </w:tc>
        <w:tc>
          <w:tcPr>
            <w:tcW w:w="1418" w:type="dxa"/>
          </w:tcPr>
          <w:p w14:paraId="2F56EAA5" w14:textId="4F46BCD8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21.600</w:t>
            </w:r>
          </w:p>
        </w:tc>
        <w:tc>
          <w:tcPr>
            <w:tcW w:w="3118" w:type="dxa"/>
            <w:shd w:val="clear" w:color="auto" w:fill="auto"/>
          </w:tcPr>
          <w:p w14:paraId="34747A35" w14:textId="1B210DDF" w:rsidR="00A81A50" w:rsidRDefault="00A81A50" w:rsidP="00A81A5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18.480</w:t>
            </w:r>
          </w:p>
        </w:tc>
      </w:tr>
    </w:tbl>
    <w:p w14:paraId="262285AC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C15355" w14:textId="7C345770" w:rsidR="00A25450" w:rsidRPr="00A25450" w:rsidRDefault="00A25450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</w:t>
      </w:r>
      <w:r w:rsidRPr="00A254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podskupini 638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iz izvora </w:t>
      </w:r>
      <w:r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52 - ostale pomoći i darovnice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A254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izmjenama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A254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dopunama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financijskog plana za 2025. nije planirano</w:t>
      </w:r>
      <w:r w:rsidRPr="00A254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ostvarenje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sredstava po ugovoru za energetsku obnovu zgrada Fakulteta, jer će projekt započeti s realizacijom u 2026. god</w:t>
      </w:r>
      <w:r w:rsidRPr="00A254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D7688AB" w14:textId="77777777" w:rsidR="00A25450" w:rsidRDefault="00A25450" w:rsidP="00A25450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3118"/>
      </w:tblGrid>
      <w:tr w:rsidR="00A25450" w:rsidRPr="0006773D" w14:paraId="682CD45D" w14:textId="77777777" w:rsidTr="00C91DF7">
        <w:tc>
          <w:tcPr>
            <w:tcW w:w="1378" w:type="dxa"/>
            <w:shd w:val="clear" w:color="auto" w:fill="auto"/>
          </w:tcPr>
          <w:p w14:paraId="22DD55B6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202DD9B2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1A054C72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418" w:type="dxa"/>
          </w:tcPr>
          <w:p w14:paraId="58526F87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Plan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8" w:type="dxa"/>
            <w:shd w:val="clear" w:color="auto" w:fill="auto"/>
          </w:tcPr>
          <w:p w14:paraId="6D8D7E22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A25450" w:rsidRPr="0006773D" w14:paraId="6874BBE7" w14:textId="77777777" w:rsidTr="00C91DF7">
        <w:tc>
          <w:tcPr>
            <w:tcW w:w="1378" w:type="dxa"/>
            <w:shd w:val="clear" w:color="auto" w:fill="auto"/>
          </w:tcPr>
          <w:p w14:paraId="1ADBD0EC" w14:textId="52AC4AE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</w:tcPr>
          <w:p w14:paraId="7DEABF1A" w14:textId="77777777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78" w:type="dxa"/>
            <w:shd w:val="clear" w:color="auto" w:fill="auto"/>
          </w:tcPr>
          <w:p w14:paraId="31B252B0" w14:textId="2CA79BB1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Energetska obnova zgrade RiTeh</w:t>
            </w:r>
          </w:p>
        </w:tc>
        <w:tc>
          <w:tcPr>
            <w:tcW w:w="1418" w:type="dxa"/>
          </w:tcPr>
          <w:p w14:paraId="211B08B9" w14:textId="1869C1A5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5.955.210</w:t>
            </w:r>
          </w:p>
        </w:tc>
        <w:tc>
          <w:tcPr>
            <w:tcW w:w="3118" w:type="dxa"/>
            <w:shd w:val="clear" w:color="auto" w:fill="auto"/>
          </w:tcPr>
          <w:p w14:paraId="252A726E" w14:textId="5F29999C" w:rsidR="00A25450" w:rsidRPr="0006773D" w:rsidRDefault="00A25450" w:rsidP="00C91DF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C45009E" w14:textId="77777777" w:rsidR="00A25450" w:rsidRDefault="00A25450" w:rsidP="00A25450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6EDD3F" w14:textId="3CB027F9" w:rsidR="0006773D" w:rsidRPr="0006773D" w:rsidRDefault="0006773D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Fakultet ostvaruje prijenose između proračunskih korisnika istog proračuna na </w:t>
      </w: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podskupini 639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iz izvora </w:t>
      </w:r>
      <w:r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52 - ostale pomoći i darovnice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koji se odnose na mobilnost znanstvenika, projekte studentskog zbora, </w:t>
      </w:r>
      <w:r w:rsidR="00EE57AB">
        <w:rPr>
          <w:rFonts w:ascii="Times New Roman" w:eastAsiaTheme="minorHAnsi" w:hAnsi="Times New Roman" w:cs="Times New Roman"/>
          <w:sz w:val="24"/>
          <w:szCs w:val="24"/>
          <w:lang w:eastAsia="en-US"/>
        </w:rPr>
        <w:t>znanstvene potpore Sveučilišta u Rijeci,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bilateralne projekte Ministarstva znanosti, obrazovanja i mladih,</w:t>
      </w:r>
      <w:r w:rsidR="00EE57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projekte Hrvatske zaklade za znanost kao </w:t>
      </w:r>
      <w:r w:rsidR="00A81A50">
        <w:rPr>
          <w:rFonts w:ascii="Times New Roman" w:eastAsiaTheme="minorHAnsi" w:hAnsi="Times New Roman" w:cs="Times New Roman"/>
          <w:sz w:val="24"/>
          <w:szCs w:val="24"/>
          <w:lang w:eastAsia="en-US"/>
        </w:rPr>
        <w:t>i prijenose EU sredstava. U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planirano je ostvarenje prijenosa sredstava od Sveučilišta u Rijeci u iznosu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67.398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prijenos sredstava za projekt MZOM-a 1.000 eura,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prijenos sredstava za projekte Hrvatske zaklade za znanost u iznosu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152.503</w:t>
      </w:r>
      <w:r w:rsidR="00CD3E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eur,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prijenos sredstava za plaće doktoranada Hrvatske zaklade za znanost u iznosu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200.093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CD3E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prijenos sredstava za program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razvoja karijera 113.200</w:t>
      </w:r>
      <w:r w:rsidR="00CD3E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Nadalje, </w:t>
      </w:r>
      <w:r w:rsidR="00CD3E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planirana je pomoć od izvanproračunskog korisnika državnog proračuna (Fond za zaštitu okoliša i energetsku učinkovitost) u iznosu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156.262</w:t>
      </w:r>
      <w:r w:rsidR="00CD3E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za projekt Energetski park, kao i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prijenosi sredstava između proračunskih korisnika istog proračuna za EU projekte</w:t>
      </w:r>
      <w:r w:rsidR="003012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(ukupno</w:t>
      </w:r>
      <w:r w:rsidR="00C43F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83382">
        <w:rPr>
          <w:rFonts w:ascii="Times New Roman" w:eastAsiaTheme="minorHAnsi" w:hAnsi="Times New Roman" w:cs="Times New Roman"/>
          <w:sz w:val="24"/>
          <w:szCs w:val="24"/>
          <w:lang w:eastAsia="en-US"/>
        </w:rPr>
        <w:t>223.429</w:t>
      </w:r>
      <w:r w:rsidR="00C43F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</w:t>
      </w:r>
      <w:r w:rsidR="0030124C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kako je prikazano u tablici.</w:t>
      </w:r>
    </w:p>
    <w:p w14:paraId="592A717B" w14:textId="77777777" w:rsidR="0006773D" w:rsidRPr="0006773D" w:rsidRDefault="0006773D" w:rsidP="0006773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46"/>
        <w:gridCol w:w="2409"/>
        <w:gridCol w:w="1843"/>
        <w:gridCol w:w="1276"/>
        <w:gridCol w:w="2551"/>
      </w:tblGrid>
      <w:tr w:rsidR="00C43FC1" w:rsidRPr="0006773D" w14:paraId="47296D17" w14:textId="77777777" w:rsidTr="00383382">
        <w:tc>
          <w:tcPr>
            <w:tcW w:w="876" w:type="dxa"/>
            <w:shd w:val="clear" w:color="auto" w:fill="auto"/>
          </w:tcPr>
          <w:p w14:paraId="4C507358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financ.</w:t>
            </w:r>
          </w:p>
        </w:tc>
        <w:tc>
          <w:tcPr>
            <w:tcW w:w="1246" w:type="dxa"/>
          </w:tcPr>
          <w:p w14:paraId="4565D3E1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409" w:type="dxa"/>
            <w:shd w:val="clear" w:color="auto" w:fill="auto"/>
          </w:tcPr>
          <w:p w14:paraId="6E7E4191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 / EU projekta</w:t>
            </w:r>
          </w:p>
        </w:tc>
        <w:tc>
          <w:tcPr>
            <w:tcW w:w="1843" w:type="dxa"/>
          </w:tcPr>
          <w:p w14:paraId="7CA647EA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Prijenos</w:t>
            </w:r>
          </w:p>
        </w:tc>
        <w:tc>
          <w:tcPr>
            <w:tcW w:w="1276" w:type="dxa"/>
            <w:shd w:val="clear" w:color="auto" w:fill="auto"/>
          </w:tcPr>
          <w:p w14:paraId="1221E01C" w14:textId="666648EC" w:rsidR="00C43FC1" w:rsidRPr="0006773D" w:rsidRDefault="00A81A50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Plan 2025</w:t>
            </w:r>
            <w:r w:rsidR="00C43FC1"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  <w:tc>
          <w:tcPr>
            <w:tcW w:w="2551" w:type="dxa"/>
            <w:shd w:val="clear" w:color="auto" w:fill="auto"/>
          </w:tcPr>
          <w:p w14:paraId="389F4EA4" w14:textId="6FC9BA9D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 w:rsidR="00A81A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C43FC1" w:rsidRPr="0006773D" w14:paraId="29B526A9" w14:textId="77777777" w:rsidTr="00383382">
        <w:tc>
          <w:tcPr>
            <w:tcW w:w="876" w:type="dxa"/>
            <w:shd w:val="clear" w:color="auto" w:fill="auto"/>
          </w:tcPr>
          <w:p w14:paraId="1B4AE02D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286E981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09" w:type="dxa"/>
            <w:shd w:val="clear" w:color="auto" w:fill="auto"/>
          </w:tcPr>
          <w:p w14:paraId="2CB8B475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843" w:type="dxa"/>
          </w:tcPr>
          <w:p w14:paraId="44EFC7FE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276" w:type="dxa"/>
            <w:shd w:val="clear" w:color="auto" w:fill="auto"/>
          </w:tcPr>
          <w:p w14:paraId="3DD82CCC" w14:textId="77777777" w:rsidR="00C43FC1" w:rsidRPr="0006773D" w:rsidRDefault="00C43FC1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10.300</w:t>
            </w:r>
          </w:p>
        </w:tc>
        <w:tc>
          <w:tcPr>
            <w:tcW w:w="2551" w:type="dxa"/>
            <w:shd w:val="clear" w:color="auto" w:fill="auto"/>
          </w:tcPr>
          <w:p w14:paraId="293B5990" w14:textId="2E29AD10" w:rsidR="00C43FC1" w:rsidRPr="0006773D" w:rsidRDefault="00A25450" w:rsidP="000677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67.398</w:t>
            </w:r>
          </w:p>
        </w:tc>
      </w:tr>
      <w:tr w:rsidR="00DA048E" w:rsidRPr="0006773D" w14:paraId="1BED53A7" w14:textId="77777777" w:rsidTr="00383382">
        <w:tc>
          <w:tcPr>
            <w:tcW w:w="876" w:type="dxa"/>
            <w:shd w:val="clear" w:color="auto" w:fill="auto"/>
          </w:tcPr>
          <w:p w14:paraId="77298FAB" w14:textId="6D715245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10797A27" w14:textId="2F6E2158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09" w:type="dxa"/>
            <w:shd w:val="clear" w:color="auto" w:fill="auto"/>
          </w:tcPr>
          <w:p w14:paraId="1F4FD45B" w14:textId="2F02059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843" w:type="dxa"/>
          </w:tcPr>
          <w:p w14:paraId="549264A6" w14:textId="3860DE6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MZOM</w:t>
            </w:r>
          </w:p>
        </w:tc>
        <w:tc>
          <w:tcPr>
            <w:tcW w:w="1276" w:type="dxa"/>
            <w:shd w:val="clear" w:color="auto" w:fill="auto"/>
          </w:tcPr>
          <w:p w14:paraId="0F2C19FC" w14:textId="669238C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29ED9EAE" w14:textId="4A86BD55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1.000</w:t>
            </w:r>
          </w:p>
        </w:tc>
      </w:tr>
      <w:tr w:rsidR="00DA048E" w:rsidRPr="0006773D" w14:paraId="3DB38410" w14:textId="77777777" w:rsidTr="00383382">
        <w:tc>
          <w:tcPr>
            <w:tcW w:w="876" w:type="dxa"/>
            <w:shd w:val="clear" w:color="auto" w:fill="auto"/>
          </w:tcPr>
          <w:p w14:paraId="2598F46B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77E56A3C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09" w:type="dxa"/>
            <w:shd w:val="clear" w:color="auto" w:fill="auto"/>
          </w:tcPr>
          <w:p w14:paraId="372976EF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843" w:type="dxa"/>
          </w:tcPr>
          <w:p w14:paraId="4CC48178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HRZZ</w:t>
            </w:r>
          </w:p>
        </w:tc>
        <w:tc>
          <w:tcPr>
            <w:tcW w:w="1276" w:type="dxa"/>
            <w:shd w:val="clear" w:color="auto" w:fill="auto"/>
          </w:tcPr>
          <w:p w14:paraId="29A7BFD9" w14:textId="556F1F1F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424.688</w:t>
            </w:r>
          </w:p>
        </w:tc>
        <w:tc>
          <w:tcPr>
            <w:tcW w:w="2551" w:type="dxa"/>
            <w:shd w:val="clear" w:color="auto" w:fill="auto"/>
          </w:tcPr>
          <w:p w14:paraId="2377A6D9" w14:textId="5453F3F0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465.796</w:t>
            </w:r>
          </w:p>
        </w:tc>
      </w:tr>
      <w:tr w:rsidR="00DA048E" w:rsidRPr="0006773D" w14:paraId="6C87DFBD" w14:textId="77777777" w:rsidTr="00383382">
        <w:tc>
          <w:tcPr>
            <w:tcW w:w="876" w:type="dxa"/>
            <w:shd w:val="clear" w:color="auto" w:fill="auto"/>
          </w:tcPr>
          <w:p w14:paraId="037B1EDD" w14:textId="3B32792A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55BBBA9" w14:textId="10FFFBC8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409" w:type="dxa"/>
            <w:shd w:val="clear" w:color="auto" w:fill="auto"/>
          </w:tcPr>
          <w:p w14:paraId="4B3AFEC9" w14:textId="27030C4B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843" w:type="dxa"/>
          </w:tcPr>
          <w:p w14:paraId="314D4E4C" w14:textId="426521DE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FZOEU</w:t>
            </w:r>
          </w:p>
        </w:tc>
        <w:tc>
          <w:tcPr>
            <w:tcW w:w="1276" w:type="dxa"/>
            <w:shd w:val="clear" w:color="auto" w:fill="auto"/>
          </w:tcPr>
          <w:p w14:paraId="7DC174F3" w14:textId="7EEB253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156.262</w:t>
            </w:r>
          </w:p>
        </w:tc>
        <w:tc>
          <w:tcPr>
            <w:tcW w:w="2551" w:type="dxa"/>
            <w:shd w:val="clear" w:color="auto" w:fill="auto"/>
          </w:tcPr>
          <w:p w14:paraId="01B08917" w14:textId="6750F11C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156.262</w:t>
            </w:r>
          </w:p>
        </w:tc>
      </w:tr>
      <w:tr w:rsidR="00DA048E" w:rsidRPr="0006773D" w14:paraId="127659F8" w14:textId="77777777" w:rsidTr="00383382">
        <w:tc>
          <w:tcPr>
            <w:tcW w:w="876" w:type="dxa"/>
            <w:shd w:val="clear" w:color="auto" w:fill="auto"/>
          </w:tcPr>
          <w:p w14:paraId="2ADE3B5F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A987205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355B00BC" w14:textId="550A5D8A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lang w:eastAsia="en-US"/>
              </w:rPr>
              <w:t>Erasmus+ EVERYONE</w:t>
            </w:r>
          </w:p>
        </w:tc>
        <w:tc>
          <w:tcPr>
            <w:tcW w:w="1843" w:type="dxa"/>
          </w:tcPr>
          <w:p w14:paraId="7F37FABE" w14:textId="7AF0DA32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AMPEU Zgb</w:t>
            </w:r>
          </w:p>
        </w:tc>
        <w:tc>
          <w:tcPr>
            <w:tcW w:w="1276" w:type="dxa"/>
            <w:shd w:val="clear" w:color="auto" w:fill="auto"/>
          </w:tcPr>
          <w:p w14:paraId="219B520C" w14:textId="341B6061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5EA7561F" w14:textId="4E6BEA12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48.000</w:t>
            </w:r>
          </w:p>
        </w:tc>
      </w:tr>
      <w:tr w:rsidR="00DA048E" w:rsidRPr="0006773D" w14:paraId="684BBA9D" w14:textId="77777777" w:rsidTr="00383382">
        <w:tc>
          <w:tcPr>
            <w:tcW w:w="876" w:type="dxa"/>
            <w:shd w:val="clear" w:color="auto" w:fill="auto"/>
          </w:tcPr>
          <w:p w14:paraId="61663E08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A66A8ED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3F6B54C7" w14:textId="78C3FF30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SmAIle</w:t>
            </w:r>
          </w:p>
        </w:tc>
        <w:tc>
          <w:tcPr>
            <w:tcW w:w="1843" w:type="dxa"/>
          </w:tcPr>
          <w:p w14:paraId="13A0377A" w14:textId="05C9E56D" w:rsidR="00DA048E" w:rsidRPr="00383382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8338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OŠ Pantovčak Zgb</w:t>
            </w:r>
          </w:p>
        </w:tc>
        <w:tc>
          <w:tcPr>
            <w:tcW w:w="1276" w:type="dxa"/>
            <w:shd w:val="clear" w:color="auto" w:fill="auto"/>
          </w:tcPr>
          <w:p w14:paraId="047D0D5A" w14:textId="63AE6C70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10.000</w:t>
            </w:r>
          </w:p>
        </w:tc>
        <w:tc>
          <w:tcPr>
            <w:tcW w:w="2551" w:type="dxa"/>
            <w:shd w:val="clear" w:color="auto" w:fill="auto"/>
          </w:tcPr>
          <w:p w14:paraId="4C75FADB" w14:textId="5FDEE55D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A048E" w:rsidRPr="0006773D" w14:paraId="3C0C6E12" w14:textId="77777777" w:rsidTr="00383382">
        <w:tc>
          <w:tcPr>
            <w:tcW w:w="876" w:type="dxa"/>
            <w:shd w:val="clear" w:color="auto" w:fill="auto"/>
          </w:tcPr>
          <w:p w14:paraId="3C431950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752EEAB3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23EED0A9" w14:textId="40546F00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AI4Health.Cro</w:t>
            </w:r>
          </w:p>
        </w:tc>
        <w:tc>
          <w:tcPr>
            <w:tcW w:w="1843" w:type="dxa"/>
          </w:tcPr>
          <w:p w14:paraId="1BC7B226" w14:textId="66539D81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IRB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Zgb</w:t>
            </w:r>
          </w:p>
        </w:tc>
        <w:tc>
          <w:tcPr>
            <w:tcW w:w="1276" w:type="dxa"/>
            <w:shd w:val="clear" w:color="auto" w:fill="auto"/>
          </w:tcPr>
          <w:p w14:paraId="570A0B9C" w14:textId="31306C59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9.945</w:t>
            </w:r>
          </w:p>
        </w:tc>
        <w:tc>
          <w:tcPr>
            <w:tcW w:w="2551" w:type="dxa"/>
            <w:shd w:val="clear" w:color="auto" w:fill="auto"/>
          </w:tcPr>
          <w:p w14:paraId="376C352A" w14:textId="3D7D15CE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9.945</w:t>
            </w:r>
          </w:p>
        </w:tc>
      </w:tr>
      <w:tr w:rsidR="00DA048E" w:rsidRPr="0006773D" w14:paraId="3BC41036" w14:textId="77777777" w:rsidTr="00383382">
        <w:tc>
          <w:tcPr>
            <w:tcW w:w="876" w:type="dxa"/>
            <w:shd w:val="clear" w:color="auto" w:fill="auto"/>
          </w:tcPr>
          <w:p w14:paraId="43E78766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4422C3F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19A83EB6" w14:textId="4266534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EuroCC</w:t>
            </w: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667A8D14" w14:textId="0A4F873A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SRCE Zgb</w:t>
            </w:r>
          </w:p>
        </w:tc>
        <w:tc>
          <w:tcPr>
            <w:tcW w:w="1276" w:type="dxa"/>
            <w:shd w:val="clear" w:color="auto" w:fill="auto"/>
          </w:tcPr>
          <w:p w14:paraId="0683249E" w14:textId="4E477029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25.012</w:t>
            </w:r>
          </w:p>
        </w:tc>
        <w:tc>
          <w:tcPr>
            <w:tcW w:w="2551" w:type="dxa"/>
            <w:shd w:val="clear" w:color="auto" w:fill="auto"/>
          </w:tcPr>
          <w:p w14:paraId="70206789" w14:textId="6B2D794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45.087</w:t>
            </w:r>
          </w:p>
        </w:tc>
      </w:tr>
      <w:tr w:rsidR="00DA048E" w:rsidRPr="0006773D" w14:paraId="34963A87" w14:textId="77777777" w:rsidTr="00383382">
        <w:tc>
          <w:tcPr>
            <w:tcW w:w="876" w:type="dxa"/>
            <w:shd w:val="clear" w:color="auto" w:fill="auto"/>
          </w:tcPr>
          <w:p w14:paraId="6BAEBFE1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2A0419E5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7A62231B" w14:textId="5651C36E" w:rsidR="00DA048E" w:rsidRPr="00A25450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25450">
              <w:rPr>
                <w:rFonts w:ascii="Times New Roman" w:eastAsiaTheme="minorHAnsi" w:hAnsi="Times New Roman" w:cs="Times New Roman"/>
                <w:lang w:eastAsia="en-US"/>
              </w:rPr>
              <w:t>NPOO BrainClock</w:t>
            </w:r>
          </w:p>
        </w:tc>
        <w:tc>
          <w:tcPr>
            <w:tcW w:w="1843" w:type="dxa"/>
          </w:tcPr>
          <w:p w14:paraId="21E9B680" w14:textId="46187501" w:rsidR="00DA048E" w:rsidRPr="00383382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8338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edicinski fak.</w:t>
            </w:r>
            <w:r w:rsidRPr="0038338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Zgb</w:t>
            </w:r>
          </w:p>
        </w:tc>
        <w:tc>
          <w:tcPr>
            <w:tcW w:w="1276" w:type="dxa"/>
            <w:shd w:val="clear" w:color="auto" w:fill="auto"/>
          </w:tcPr>
          <w:p w14:paraId="1E0B115D" w14:textId="3DC4D5B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131.332</w:t>
            </w:r>
          </w:p>
        </w:tc>
        <w:tc>
          <w:tcPr>
            <w:tcW w:w="2551" w:type="dxa"/>
            <w:shd w:val="clear" w:color="auto" w:fill="auto"/>
          </w:tcPr>
          <w:p w14:paraId="29A5CD7E" w14:textId="3B305D3C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61.956</w:t>
            </w:r>
          </w:p>
        </w:tc>
      </w:tr>
      <w:tr w:rsidR="00DA048E" w:rsidRPr="0006773D" w14:paraId="2B96983E" w14:textId="77777777" w:rsidTr="00383382">
        <w:tc>
          <w:tcPr>
            <w:tcW w:w="876" w:type="dxa"/>
            <w:shd w:val="clear" w:color="auto" w:fill="auto"/>
          </w:tcPr>
          <w:p w14:paraId="02500D69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541F29BE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4A914B7F" w14:textId="3219E9B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WICT</w:t>
            </w:r>
          </w:p>
        </w:tc>
        <w:tc>
          <w:tcPr>
            <w:tcW w:w="1843" w:type="dxa"/>
          </w:tcPr>
          <w:p w14:paraId="430A2014" w14:textId="2727EA59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AMPEU Zgb</w:t>
            </w:r>
          </w:p>
        </w:tc>
        <w:tc>
          <w:tcPr>
            <w:tcW w:w="1276" w:type="dxa"/>
            <w:shd w:val="clear" w:color="auto" w:fill="auto"/>
          </w:tcPr>
          <w:p w14:paraId="767D6A0B" w14:textId="5416F649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47.463</w:t>
            </w:r>
          </w:p>
        </w:tc>
        <w:tc>
          <w:tcPr>
            <w:tcW w:w="2551" w:type="dxa"/>
            <w:shd w:val="clear" w:color="auto" w:fill="auto"/>
          </w:tcPr>
          <w:p w14:paraId="445A0C7A" w14:textId="2CEA9196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47.463</w:t>
            </w:r>
          </w:p>
        </w:tc>
      </w:tr>
      <w:tr w:rsidR="00DA048E" w:rsidRPr="0006773D" w14:paraId="795B8829" w14:textId="77777777" w:rsidTr="00383382">
        <w:tc>
          <w:tcPr>
            <w:tcW w:w="876" w:type="dxa"/>
            <w:shd w:val="clear" w:color="auto" w:fill="auto"/>
          </w:tcPr>
          <w:p w14:paraId="4B5B5B77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0AD0AF03" w14:textId="77777777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02D6C436" w14:textId="22A68321" w:rsidR="00DA048E" w:rsidRPr="00383382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8338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Erasmus+ Girls go STEM</w:t>
            </w:r>
          </w:p>
        </w:tc>
        <w:tc>
          <w:tcPr>
            <w:tcW w:w="1843" w:type="dxa"/>
          </w:tcPr>
          <w:p w14:paraId="0431EEFD" w14:textId="38BD1E58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PBF Zagreb</w:t>
            </w:r>
          </w:p>
        </w:tc>
        <w:tc>
          <w:tcPr>
            <w:tcW w:w="1276" w:type="dxa"/>
            <w:shd w:val="clear" w:color="auto" w:fill="auto"/>
          </w:tcPr>
          <w:p w14:paraId="0AAA0934" w14:textId="59897172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382FB738" w14:textId="778E0A99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4.726</w:t>
            </w:r>
          </w:p>
        </w:tc>
      </w:tr>
      <w:tr w:rsidR="00DA048E" w:rsidRPr="0006773D" w14:paraId="61921C3C" w14:textId="77777777" w:rsidTr="00383382">
        <w:tc>
          <w:tcPr>
            <w:tcW w:w="876" w:type="dxa"/>
            <w:shd w:val="clear" w:color="auto" w:fill="auto"/>
          </w:tcPr>
          <w:p w14:paraId="658F0C4B" w14:textId="757F6A06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3BD78345" w14:textId="159757E6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55D3C8BB" w14:textId="5FEF0342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COST SNOOPY</w:t>
            </w:r>
          </w:p>
        </w:tc>
        <w:tc>
          <w:tcPr>
            <w:tcW w:w="1843" w:type="dxa"/>
          </w:tcPr>
          <w:p w14:paraId="38C87F88" w14:textId="6DBD47FB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276" w:type="dxa"/>
            <w:shd w:val="clear" w:color="auto" w:fill="auto"/>
          </w:tcPr>
          <w:p w14:paraId="7ED156D3" w14:textId="46AF9FA0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3FFCD55D" w14:textId="29E1E914" w:rsidR="00DA048E" w:rsidRPr="0006773D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6.000</w:t>
            </w:r>
          </w:p>
        </w:tc>
      </w:tr>
      <w:tr w:rsidR="00DA048E" w:rsidRPr="0006773D" w14:paraId="73AD65E7" w14:textId="77777777" w:rsidTr="00383382">
        <w:tc>
          <w:tcPr>
            <w:tcW w:w="876" w:type="dxa"/>
            <w:shd w:val="clear" w:color="auto" w:fill="auto"/>
          </w:tcPr>
          <w:p w14:paraId="200D5A81" w14:textId="3F680490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6" w:type="dxa"/>
          </w:tcPr>
          <w:p w14:paraId="3B55DAC9" w14:textId="6FCEE2BE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409" w:type="dxa"/>
            <w:shd w:val="clear" w:color="auto" w:fill="auto"/>
          </w:tcPr>
          <w:p w14:paraId="67B71547" w14:textId="61B9B5C1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Noć istraživača</w:t>
            </w:r>
          </w:p>
        </w:tc>
        <w:tc>
          <w:tcPr>
            <w:tcW w:w="1843" w:type="dxa"/>
          </w:tcPr>
          <w:p w14:paraId="75B830D6" w14:textId="76A6FDEE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276" w:type="dxa"/>
            <w:shd w:val="clear" w:color="auto" w:fill="auto"/>
          </w:tcPr>
          <w:p w14:paraId="36367F19" w14:textId="541E620C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63B6B793" w14:textId="7ADD7C55" w:rsidR="00DA048E" w:rsidRDefault="00DA048E" w:rsidP="00DA048E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</w:t>
            </w:r>
          </w:p>
        </w:tc>
      </w:tr>
    </w:tbl>
    <w:p w14:paraId="47838D8C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CDA090E" w14:textId="24784817" w:rsidR="0006773D" w:rsidRPr="0006773D" w:rsidRDefault="0006773D" w:rsidP="0006773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Skladno Uputi za izradu prijedloga financijskog plana razdjela 080-Ministarstva znanosti i obrazovanja za razdoblje 202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5.-2027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fakultet je primio i potvrdio pisane obavijesti partnera u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provedbi projekata o iznosu planiranih prijenosa sredstava u okviru podskupine 369/639 temeljem kojih je planirao prihode izvora 52 na skupini 639. </w:t>
      </w:r>
    </w:p>
    <w:p w14:paraId="739A25B7" w14:textId="77777777" w:rsidR="0006773D" w:rsidRPr="0006773D" w:rsidRDefault="0006773D" w:rsidP="0006773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A5D031" w14:textId="63D17838" w:rsidR="0006773D" w:rsidRPr="0006773D" w:rsidRDefault="00BB1842" w:rsidP="0006773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Fakultet je planirao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ostvarenje prihoda od donacija pravnih i fizičkih osoba izvan općeg proračuna na </w:t>
      </w:r>
      <w:r w:rsidR="0006773D"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podskupini 663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iz izvora </w:t>
      </w:r>
      <w:r w:rsidR="0006773D" w:rsidRPr="0006773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61 – donacije.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U 2025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godini planirano je ostvarenje tekućih donacija od nepr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ofitnih organizacija u iznosu 8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.000 eura, tekućih donacija od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trgovačkih društava u iznosu 17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.000 eura i kapitalnih donacija od </w:t>
      </w:r>
      <w:r w:rsidR="00DA048E">
        <w:rPr>
          <w:rFonts w:ascii="Times New Roman" w:eastAsiaTheme="minorHAnsi" w:hAnsi="Times New Roman" w:cs="Times New Roman"/>
          <w:sz w:val="24"/>
          <w:szCs w:val="24"/>
          <w:lang w:eastAsia="en-US"/>
        </w:rPr>
        <w:t>trgovačkih društava  u iznosu 10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.000 eura. </w:t>
      </w:r>
      <w:r w:rsidR="009C04CD">
        <w:rPr>
          <w:rFonts w:ascii="Times New Roman" w:eastAsiaTheme="minorHAnsi" w:hAnsi="Times New Roman" w:cs="Times New Roman"/>
          <w:sz w:val="24"/>
          <w:szCs w:val="24"/>
          <w:lang w:eastAsia="en-US"/>
        </w:rPr>
        <w:t>Nadalje, financijski plan prikazuje i sredstva koja Fakultet ostvaruje prijenosom od subjekata izvan općeg proračuna (od trgovačkih društava i neprofitnih organizacija), kao partner na EU projektima</w:t>
      </w:r>
      <w:r w:rsidR="008B25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ukupnom iznosu 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186.150</w:t>
      </w:r>
      <w:r w:rsidR="008B25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9C04C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330EB9A" w14:textId="77777777" w:rsidR="0006773D" w:rsidRPr="0006773D" w:rsidRDefault="0006773D" w:rsidP="0006773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762"/>
        <w:gridCol w:w="1559"/>
        <w:gridCol w:w="3119"/>
      </w:tblGrid>
      <w:tr w:rsidR="009C04CD" w:rsidRPr="0006773D" w14:paraId="0C10B0F4" w14:textId="77777777" w:rsidTr="009C04CD">
        <w:tc>
          <w:tcPr>
            <w:tcW w:w="1378" w:type="dxa"/>
            <w:shd w:val="clear" w:color="auto" w:fill="auto"/>
          </w:tcPr>
          <w:p w14:paraId="26CB39E7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</w:tcPr>
          <w:p w14:paraId="5D792D48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762" w:type="dxa"/>
            <w:shd w:val="clear" w:color="auto" w:fill="auto"/>
          </w:tcPr>
          <w:p w14:paraId="0CCAFF3F" w14:textId="517E1EB3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 / EU projekta</w:t>
            </w:r>
          </w:p>
        </w:tc>
        <w:tc>
          <w:tcPr>
            <w:tcW w:w="1559" w:type="dxa"/>
          </w:tcPr>
          <w:p w14:paraId="62AED06D" w14:textId="62D31A08" w:rsidR="009C04CD" w:rsidRPr="0006773D" w:rsidRDefault="00DA048E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Plan 2025</w:t>
            </w:r>
            <w:r w:rsidR="009C04CD"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EUR</w:t>
            </w:r>
          </w:p>
        </w:tc>
        <w:tc>
          <w:tcPr>
            <w:tcW w:w="3119" w:type="dxa"/>
            <w:shd w:val="clear" w:color="auto" w:fill="auto"/>
          </w:tcPr>
          <w:p w14:paraId="677EDCCE" w14:textId="6352F1EF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Izmjene i dopune p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lan</w:t>
            </w:r>
            <w:r w:rsidR="00DA04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2025</w:t>
            </w: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EUR  </w:t>
            </w:r>
          </w:p>
        </w:tc>
      </w:tr>
      <w:tr w:rsidR="009C04CD" w:rsidRPr="0006773D" w14:paraId="25B1200A" w14:textId="77777777" w:rsidTr="009C04CD">
        <w:tc>
          <w:tcPr>
            <w:tcW w:w="1378" w:type="dxa"/>
            <w:shd w:val="clear" w:color="auto" w:fill="auto"/>
          </w:tcPr>
          <w:p w14:paraId="77614845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6A1E71C8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2762" w:type="dxa"/>
            <w:shd w:val="clear" w:color="auto" w:fill="auto"/>
          </w:tcPr>
          <w:p w14:paraId="2CFFE318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559" w:type="dxa"/>
          </w:tcPr>
          <w:p w14:paraId="6FB7D699" w14:textId="77777777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7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21.000</w:t>
            </w:r>
          </w:p>
        </w:tc>
        <w:tc>
          <w:tcPr>
            <w:tcW w:w="3119" w:type="dxa"/>
            <w:shd w:val="clear" w:color="auto" w:fill="auto"/>
          </w:tcPr>
          <w:p w14:paraId="7AB0A556" w14:textId="68BFE333" w:rsidR="009C04CD" w:rsidRPr="0006773D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35.000</w:t>
            </w:r>
          </w:p>
        </w:tc>
      </w:tr>
      <w:tr w:rsidR="009C04CD" w:rsidRPr="0006773D" w14:paraId="4DE41070" w14:textId="77777777" w:rsidTr="009C04CD">
        <w:tc>
          <w:tcPr>
            <w:tcW w:w="1378" w:type="dxa"/>
            <w:shd w:val="clear" w:color="auto" w:fill="auto"/>
          </w:tcPr>
          <w:p w14:paraId="7D36DD5D" w14:textId="1B38F62D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3CD72D99" w14:textId="67DF7A52" w:rsidR="009C04CD" w:rsidRPr="0006773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25FD2751" w14:textId="09B22146" w:rsidR="009C04CD" w:rsidRPr="009C04CD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Interreg</w:t>
            </w:r>
          </w:p>
        </w:tc>
        <w:tc>
          <w:tcPr>
            <w:tcW w:w="1559" w:type="dxa"/>
          </w:tcPr>
          <w:p w14:paraId="7BDA1501" w14:textId="5B5DCAB1" w:rsidR="009C04CD" w:rsidRPr="009C04CD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121.455</w:t>
            </w:r>
          </w:p>
        </w:tc>
        <w:tc>
          <w:tcPr>
            <w:tcW w:w="3119" w:type="dxa"/>
            <w:shd w:val="clear" w:color="auto" w:fill="auto"/>
          </w:tcPr>
          <w:p w14:paraId="7864CB9C" w14:textId="6E203713" w:rsidR="009C04CD" w:rsidRDefault="00A65746" w:rsidP="00A6574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9C04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0.0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9C04CD" w:rsidRPr="0006773D" w14:paraId="60939AF8" w14:textId="77777777" w:rsidTr="009C04CD">
        <w:tc>
          <w:tcPr>
            <w:tcW w:w="1378" w:type="dxa"/>
            <w:shd w:val="clear" w:color="auto" w:fill="auto"/>
          </w:tcPr>
          <w:p w14:paraId="40D64361" w14:textId="6E54BD3D" w:rsidR="009C04C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76E3C131" w14:textId="3932198F" w:rsidR="009C04CD" w:rsidRDefault="009C04CD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1A7776A7" w14:textId="6DF71E04" w:rsidR="009C04CD" w:rsidRP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6574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SPIN HEYGUEST ISLAND</w:t>
            </w:r>
          </w:p>
        </w:tc>
        <w:tc>
          <w:tcPr>
            <w:tcW w:w="1559" w:type="dxa"/>
          </w:tcPr>
          <w:p w14:paraId="740FB643" w14:textId="544C33F0" w:rsidR="009C04CD" w:rsidRPr="0006773D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29.738</w:t>
            </w:r>
          </w:p>
        </w:tc>
        <w:tc>
          <w:tcPr>
            <w:tcW w:w="3119" w:type="dxa"/>
            <w:shd w:val="clear" w:color="auto" w:fill="auto"/>
          </w:tcPr>
          <w:p w14:paraId="19D02120" w14:textId="62CE284F" w:rsidR="009C04CD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8.100</w:t>
            </w:r>
          </w:p>
        </w:tc>
      </w:tr>
      <w:tr w:rsidR="00A65746" w:rsidRPr="0006773D" w14:paraId="0A67D374" w14:textId="77777777" w:rsidTr="009C04CD">
        <w:tc>
          <w:tcPr>
            <w:tcW w:w="1378" w:type="dxa"/>
            <w:shd w:val="clear" w:color="auto" w:fill="auto"/>
          </w:tcPr>
          <w:p w14:paraId="0DDB40D9" w14:textId="7FB9AFCF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2F538CD7" w14:textId="35187385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334EDCF0" w14:textId="4248A096" w:rsidR="00A65746" w:rsidRP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SPIN SMART-HOTEL 360</w:t>
            </w:r>
          </w:p>
        </w:tc>
        <w:tc>
          <w:tcPr>
            <w:tcW w:w="1559" w:type="dxa"/>
          </w:tcPr>
          <w:p w14:paraId="737EABF1" w14:textId="4515BE4C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57.000</w:t>
            </w:r>
          </w:p>
        </w:tc>
        <w:tc>
          <w:tcPr>
            <w:tcW w:w="3119" w:type="dxa"/>
            <w:shd w:val="clear" w:color="auto" w:fill="auto"/>
          </w:tcPr>
          <w:p w14:paraId="5D9724B3" w14:textId="367FECA2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57.000</w:t>
            </w:r>
          </w:p>
        </w:tc>
      </w:tr>
      <w:tr w:rsidR="00A65746" w:rsidRPr="0006773D" w14:paraId="1FB9D4F5" w14:textId="77777777" w:rsidTr="009C04CD">
        <w:tc>
          <w:tcPr>
            <w:tcW w:w="1378" w:type="dxa"/>
            <w:shd w:val="clear" w:color="auto" w:fill="auto"/>
          </w:tcPr>
          <w:p w14:paraId="511824DF" w14:textId="3E34FA1E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264B6FDB" w14:textId="4D82237E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370EED2A" w14:textId="7585F8D4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SPIN PBMSense</w:t>
            </w:r>
          </w:p>
        </w:tc>
        <w:tc>
          <w:tcPr>
            <w:tcW w:w="1559" w:type="dxa"/>
          </w:tcPr>
          <w:p w14:paraId="52AD3E78" w14:textId="0CFF67E2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14:paraId="5B42761B" w14:textId="6AEF8C35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22.300</w:t>
            </w:r>
          </w:p>
        </w:tc>
      </w:tr>
      <w:tr w:rsidR="00A65746" w:rsidRPr="0006773D" w14:paraId="158AD39D" w14:textId="77777777" w:rsidTr="009C04CD">
        <w:tc>
          <w:tcPr>
            <w:tcW w:w="1378" w:type="dxa"/>
            <w:shd w:val="clear" w:color="auto" w:fill="auto"/>
          </w:tcPr>
          <w:p w14:paraId="6F3B62D7" w14:textId="7AC9A2DB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544BB78F" w14:textId="54A39CE2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77CDC0B0" w14:textId="781BC66E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SPIN EcoCruise9</w:t>
            </w:r>
          </w:p>
        </w:tc>
        <w:tc>
          <w:tcPr>
            <w:tcW w:w="1559" w:type="dxa"/>
          </w:tcPr>
          <w:p w14:paraId="2B6614AD" w14:textId="3AE478CA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14:paraId="06340AB1" w14:textId="79CB63FA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18.750</w:t>
            </w:r>
          </w:p>
        </w:tc>
      </w:tr>
      <w:tr w:rsidR="00A65746" w:rsidRPr="0006773D" w14:paraId="44C612AF" w14:textId="77777777" w:rsidTr="009C04CD">
        <w:tc>
          <w:tcPr>
            <w:tcW w:w="1378" w:type="dxa"/>
            <w:shd w:val="clear" w:color="auto" w:fill="auto"/>
          </w:tcPr>
          <w:p w14:paraId="767AC150" w14:textId="5691D8EF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</w:tcPr>
          <w:p w14:paraId="5E5713D2" w14:textId="7C98B64F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2762" w:type="dxa"/>
            <w:shd w:val="clear" w:color="auto" w:fill="auto"/>
          </w:tcPr>
          <w:p w14:paraId="4DA03F92" w14:textId="3A51E60B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NARASTEM</w:t>
            </w:r>
          </w:p>
        </w:tc>
        <w:tc>
          <w:tcPr>
            <w:tcW w:w="1559" w:type="dxa"/>
          </w:tcPr>
          <w:p w14:paraId="17B3AD8A" w14:textId="41A396D0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14:paraId="63155761" w14:textId="28979AA4" w:rsidR="00A65746" w:rsidRDefault="00A65746" w:rsidP="009C04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10.000</w:t>
            </w:r>
          </w:p>
        </w:tc>
      </w:tr>
    </w:tbl>
    <w:p w14:paraId="1726F6DA" w14:textId="0A170EFA" w:rsidR="0006773D" w:rsidRDefault="0006773D" w:rsidP="0006773D">
      <w:pPr>
        <w:spacing w:line="276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D8CD28" w14:textId="77777777" w:rsidR="0006773D" w:rsidRPr="0006773D" w:rsidRDefault="0006773D" w:rsidP="0006773D">
      <w:pPr>
        <w:spacing w:line="276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44347B5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RASHODI I IZDACI</w:t>
      </w:r>
    </w:p>
    <w:p w14:paraId="1422ABDF" w14:textId="576A0509" w:rsidR="0006773D" w:rsidRPr="0006773D" w:rsidRDefault="0006773D" w:rsidP="0006773D">
      <w:pPr>
        <w:spacing w:line="276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Tehnički fakultet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Rije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ci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202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planira ukupne 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rashode u iznosu 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11.725.599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11283792" w14:textId="457B140D" w:rsidR="0006773D" w:rsidRPr="0006773D" w:rsidRDefault="0006773D" w:rsidP="0006773D">
      <w:pPr>
        <w:spacing w:line="276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Financijsko poslovanje Tehničkog f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akulteta u Rijeci u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godini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planira se odvijati kroz sljedeće aktivnosti:</w:t>
      </w:r>
    </w:p>
    <w:p w14:paraId="4EE8A04C" w14:textId="3D768B80" w:rsidR="0006773D" w:rsidRPr="00BB1842" w:rsidRDefault="0006773D" w:rsidP="00BB1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Aktivnost 621002 – Redovna djelatnost Sveučilišta u Rijeci, pl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anirani rashodi u limitu za 2025</w:t>
      </w:r>
      <w:r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god. iznose 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8.138.264</w:t>
      </w:r>
      <w:r w:rsidR="00BB1842"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eura.</w:t>
      </w:r>
    </w:p>
    <w:p w14:paraId="007BAAF4" w14:textId="5B6DEE97" w:rsidR="00BB1842" w:rsidRDefault="00BB1842" w:rsidP="00BB1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Aktivnost 621183 – Stipendije i školarine za doktorski studij, planirani rashodi u limitu za 202</w:t>
      </w:r>
      <w:r w:rsidR="00A65746">
        <w:rPr>
          <w:rFonts w:ascii="Times New Roman" w:eastAsiaTheme="minorHAnsi" w:hAnsi="Times New Roman" w:cs="Times New Roman"/>
          <w:sz w:val="24"/>
          <w:szCs w:val="24"/>
          <w:lang w:eastAsia="en-US"/>
        </w:rPr>
        <w:t>5. godinu iznose 2.156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eura.</w:t>
      </w:r>
    </w:p>
    <w:p w14:paraId="4D5A6FA8" w14:textId="2F01EAC5" w:rsidR="0006773D" w:rsidRDefault="0006773D" w:rsidP="0006773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Aktivnost 622122 – Programsko financiranje javnih visokih učilišta, pl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>anirani rashodi u limitu za 2025. iznose 714.243</w:t>
      </w:r>
      <w:r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(545.798</w:t>
      </w:r>
      <w:r w:rsidR="00C13DCF"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financiranje materijalnih troškova nastavne i 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znanstvene djelatnosti, te 168.445 eura za financiranje institucijskih istraživačkih projekata koji se financiraju iz NPOO-a)</w:t>
      </w:r>
      <w:r w:rsidRPr="00BB18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2DD384" w14:textId="158BADD2" w:rsidR="006065E7" w:rsidRDefault="0006773D" w:rsidP="006065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65E7">
        <w:rPr>
          <w:rFonts w:ascii="Times New Roman" w:eastAsiaTheme="minorHAnsi" w:hAnsi="Times New Roman" w:cs="Times New Roman"/>
          <w:sz w:val="24"/>
          <w:szCs w:val="24"/>
          <w:lang w:eastAsia="en-US"/>
        </w:rPr>
        <w:t>Aktivnost 679089 – Redovna djelatnost Sveučilišta u Rijeci – iz evidencijskih p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>rihoda, planirani rashodi u 2025</w:t>
      </w:r>
      <w:r w:rsidRPr="006065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godini iznose </w:t>
      </w:r>
      <w:r w:rsidR="006065E7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>398.836</w:t>
      </w:r>
      <w:r w:rsidR="006065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eura.</w:t>
      </w:r>
    </w:p>
    <w:p w14:paraId="2A981121" w14:textId="36D15352" w:rsidR="00C91DF7" w:rsidRPr="00C91DF7" w:rsidRDefault="00C91DF7" w:rsidP="00C91DF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Aktivnost K679128 – Poboljšanje učinkovitosti javnih ulaganja na području istraživanja, razvoja i inovacija – NPOO (C3.2.R3) – planirani su rashodi u limitu za projekt Nova generacija višejezgrenih digitalnih sustava </w:t>
      </w:r>
      <w:r w:rsidRPr="00C91DF7">
        <w:rPr>
          <w:rFonts w:ascii="Times New Roman" w:eastAsiaTheme="minorHAnsi" w:hAnsi="Times New Roman" w:cs="Times New Roman"/>
          <w:sz w:val="24"/>
          <w:szCs w:val="24"/>
          <w:lang w:eastAsia="en-US"/>
        </w:rPr>
        <w:t>upravljanja za nisko i srednjenaponske el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ektoničke energetske pretvarače. </w:t>
      </w:r>
      <w:r w:rsidRPr="00C91D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NPOO.C3.2.R3-I1.02.0032 u iznosu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92.684</w:t>
      </w:r>
      <w:r w:rsidRPr="00C91D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eura.</w:t>
      </w:r>
    </w:p>
    <w:p w14:paraId="6D695698" w14:textId="53039C82" w:rsidR="0006773D" w:rsidRDefault="0006773D" w:rsidP="006065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Aktivnost 679072 - EU projekti Sveučilišta u Rijeci – iz evidencijskih prihoda, financijski plan prikazuje plan rashoda u uk</w:t>
      </w:r>
      <w:r w:rsidR="00C13DCF">
        <w:rPr>
          <w:rFonts w:ascii="Times New Roman" w:eastAsiaTheme="minorHAnsi" w:hAnsi="Times New Roman" w:cs="Times New Roman"/>
          <w:sz w:val="24"/>
          <w:szCs w:val="24"/>
          <w:lang w:eastAsia="en-US"/>
        </w:rPr>
        <w:t>upnom iznosu 379.416 eura u 2025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 god. za EU projekte pojedinačno kako slijedi:</w:t>
      </w:r>
    </w:p>
    <w:p w14:paraId="4C980017" w14:textId="77777777" w:rsidR="001417D0" w:rsidRPr="0006773D" w:rsidRDefault="001417D0" w:rsidP="001417D0">
      <w:pPr>
        <w:pStyle w:val="ListParagraph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2C081D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Izvor 51</w:t>
      </w:r>
    </w:p>
    <w:p w14:paraId="46E34EAE" w14:textId="400159F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Erasmus+ BLISS, KTH Stockholm, Sweden, </w:t>
      </w:r>
      <w:r w:rsidR="00C91DF7">
        <w:rPr>
          <w:rFonts w:ascii="Times New Roman" w:eastAsiaTheme="minorHAnsi" w:hAnsi="Times New Roman" w:cstheme="minorBidi"/>
          <w:sz w:val="24"/>
          <w:szCs w:val="24"/>
          <w:lang w:eastAsia="en-US"/>
        </w:rPr>
        <w:t>23.396</w:t>
      </w: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eura; </w:t>
      </w:r>
    </w:p>
    <w:p w14:paraId="194E47C6" w14:textId="1491293B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Erasmus+ TSAAI, Universidade de Malaga, Spain, </w:t>
      </w:r>
      <w:r w:rsidR="00C91DF7">
        <w:rPr>
          <w:rFonts w:ascii="Times New Roman" w:eastAsiaTheme="minorHAnsi" w:hAnsi="Times New Roman" w:cstheme="minorBidi"/>
          <w:sz w:val="24"/>
          <w:szCs w:val="24"/>
          <w:lang w:eastAsia="en-US"/>
        </w:rPr>
        <w:t>2.354</w:t>
      </w: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eura;</w:t>
      </w:r>
    </w:p>
    <w:p w14:paraId="6B24333F" w14:textId="7FB7ACEA" w:rsid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INNO2MARE, Univerza v Ljubljani, Slovenija, </w:t>
      </w:r>
      <w:r w:rsidR="00C91DF7">
        <w:rPr>
          <w:rFonts w:ascii="Times New Roman" w:eastAsiaTheme="minorHAnsi" w:hAnsi="Times New Roman" w:cstheme="minorBidi"/>
          <w:sz w:val="24"/>
          <w:szCs w:val="24"/>
          <w:lang w:eastAsia="en-US"/>
        </w:rPr>
        <w:t>39.374</w:t>
      </w: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eura;</w:t>
      </w:r>
    </w:p>
    <w:p w14:paraId="44719A19" w14:textId="24791C41" w:rsidR="00C91DF7" w:rsidRDefault="00C91DF7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Pr="0006773D">
        <w:rPr>
          <w:rFonts w:ascii="Times New Roman" w:eastAsiaTheme="minorHAnsi" w:hAnsi="Times New Roman" w:cstheme="minorBidi"/>
          <w:sz w:val="24"/>
          <w:szCs w:val="24"/>
          <w:lang w:eastAsia="en-US"/>
        </w:rPr>
        <w:t>Erasmus+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NEST4WB, Akademija struk.studija, Kosovo, 5.251 eur;</w:t>
      </w:r>
    </w:p>
    <w:p w14:paraId="553DACE6" w14:textId="656E03AB" w:rsidR="00C91DF7" w:rsidRDefault="00C91DF7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Erasmus+ AISE, Ionian univ., Grčka, 2.841 eur;</w:t>
      </w:r>
    </w:p>
    <w:p w14:paraId="488F9D40" w14:textId="4FC0006F" w:rsidR="00C91DF7" w:rsidRDefault="00C91DF7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Erasmus+ TAI</w:t>
      </w:r>
      <w:r w:rsidR="008E13B3">
        <w:rPr>
          <w:rFonts w:ascii="Times New Roman" w:eastAsiaTheme="minorHAnsi" w:hAnsi="Times New Roman" w:cstheme="minorBidi"/>
          <w:sz w:val="24"/>
          <w:szCs w:val="24"/>
          <w:lang w:eastAsia="en-US"/>
        </w:rPr>
        <w:t>, Univerza v Ljubljani, Slovenija, 8.589 eur;</w:t>
      </w:r>
    </w:p>
    <w:p w14:paraId="13DD8190" w14:textId="7A05C332" w:rsidR="008E13B3" w:rsidRDefault="008E13B3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Erasmus+ TRAINEE, Sveučilište u Malti, 18.351 eur;</w:t>
      </w:r>
    </w:p>
    <w:p w14:paraId="4A1E3CCA" w14:textId="7E1D85F0" w:rsidR="008E13B3" w:rsidRPr="0006773D" w:rsidRDefault="008E13B3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Erasmus+ Sustrainable, Univ.de Coimbra, Portugal, 5.844 eur</w:t>
      </w:r>
    </w:p>
    <w:p w14:paraId="66CEDA31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28956FA1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>Izvor 52</w:t>
      </w:r>
    </w:p>
    <w:p w14:paraId="28683EA1" w14:textId="7FBA7764" w:rsid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KLIMOD, MINGO, </w:t>
      </w:r>
      <w:r w:rsidR="008E13B3">
        <w:rPr>
          <w:rFonts w:ascii="Times New Roman" w:eastAsiaTheme="minorHAnsi" w:hAnsi="Times New Roman" w:cs="Times New Roman"/>
          <w:sz w:val="24"/>
          <w:szCs w:val="24"/>
          <w:lang w:eastAsia="en-US"/>
        </w:rPr>
        <w:t>22.656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eura;</w:t>
      </w:r>
    </w:p>
    <w:p w14:paraId="2F83264C" w14:textId="15FD7E44" w:rsidR="008E13B3" w:rsidRPr="0006773D" w:rsidRDefault="008E13B3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8E13B3">
        <w:rPr>
          <w:rFonts w:ascii="Times New Roman" w:eastAsiaTheme="minorHAnsi" w:hAnsi="Times New Roman" w:cs="Times New Roman"/>
          <w:sz w:val="24"/>
          <w:szCs w:val="24"/>
          <w:lang w:eastAsia="en-US"/>
        </w:rPr>
        <w:t>AI4Health.Cro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IRB Zagreb, 9.945 eur;</w:t>
      </w:r>
    </w:p>
    <w:p w14:paraId="423774DD" w14:textId="7A873CCA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- EuroCC</w:t>
      </w: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SRCE Zagreb, </w:t>
      </w:r>
      <w:r w:rsidR="008E13B3">
        <w:rPr>
          <w:rFonts w:ascii="Times New Roman" w:eastAsiaTheme="minorHAnsi" w:hAnsi="Times New Roman" w:cs="Times New Roman"/>
          <w:sz w:val="24"/>
          <w:szCs w:val="24"/>
          <w:lang w:eastAsia="en-US"/>
        </w:rPr>
        <w:t>101.500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eura;</w:t>
      </w:r>
    </w:p>
    <w:p w14:paraId="648B1BF9" w14:textId="4737961A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Erasmus+ Girls go STEM, PBF Zagreb, </w:t>
      </w:r>
      <w:r w:rsidR="008E13B3">
        <w:rPr>
          <w:rFonts w:ascii="Times New Roman" w:eastAsiaTheme="minorHAnsi" w:hAnsi="Times New Roman" w:cs="Times New Roman"/>
          <w:sz w:val="24"/>
          <w:szCs w:val="24"/>
          <w:lang w:eastAsia="en-US"/>
        </w:rPr>
        <w:t>5.938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eura;</w:t>
      </w:r>
    </w:p>
    <w:p w14:paraId="47BD098E" w14:textId="17B46561" w:rsid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8E13B3">
        <w:rPr>
          <w:rFonts w:ascii="Times New Roman" w:eastAsiaTheme="minorHAnsi" w:hAnsi="Times New Roman" w:cs="Times New Roman"/>
          <w:sz w:val="24"/>
          <w:szCs w:val="24"/>
          <w:lang w:eastAsia="en-US"/>
        </w:rPr>
        <w:t>CRECI, MRRFEU Zagreb, 34.996 eur</w:t>
      </w:r>
    </w:p>
    <w:p w14:paraId="7EA1FFEB" w14:textId="53081405" w:rsidR="008E13B3" w:rsidRDefault="008E13B3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DATACROSS, FER Zagreb, 10.300 eur</w:t>
      </w:r>
    </w:p>
    <w:p w14:paraId="78499D60" w14:textId="05A3C4D4" w:rsidR="008E13B3" w:rsidRDefault="008E13B3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COST SNOOPY, UniRi, 6.000 eur</w:t>
      </w:r>
    </w:p>
    <w:p w14:paraId="76C2B39B" w14:textId="2290A8BD" w:rsidR="008E13B3" w:rsidRPr="0006773D" w:rsidRDefault="008E13B3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Noć istraživača, UniRi, 252 eur</w:t>
      </w:r>
    </w:p>
    <w:p w14:paraId="47BFF8D1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lastRenderedPageBreak/>
        <w:t>Izvor 61</w:t>
      </w:r>
    </w:p>
    <w:p w14:paraId="4C66AE85" w14:textId="36EC2DF1" w:rsidR="0090399A" w:rsidRDefault="0090399A" w:rsidP="009039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BEYOND Interreg, Istarska regionalna energetska agencija – IRENA, </w:t>
      </w:r>
      <w:r>
        <w:rPr>
          <w:rFonts w:ascii="Times New Roman" w:hAnsi="Times New Roman" w:cs="Times New Roman"/>
          <w:sz w:val="24"/>
          <w:szCs w:val="24"/>
        </w:rPr>
        <w:t>81.829 eura.</w:t>
      </w:r>
    </w:p>
    <w:p w14:paraId="235F470F" w14:textId="77777777" w:rsidR="0090399A" w:rsidRDefault="0090399A" w:rsidP="009039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6775B" w14:textId="31066DA3" w:rsidR="0006773D" w:rsidRPr="0006773D" w:rsidRDefault="0006773D" w:rsidP="0006773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Ukupni planirani rashod na ovoj aktivnosti za 202</w:t>
      </w:r>
      <w:r w:rsidR="0090399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065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godinu nije obuhvatio sve EU projekte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065E7">
        <w:rPr>
          <w:rFonts w:ascii="Times New Roman" w:hAnsi="Times New Roman" w:cs="Times New Roman"/>
          <w:sz w:val="24"/>
          <w:szCs w:val="24"/>
        </w:rPr>
        <w:t>zbog nedostatka dokumentacije i obavijesti o prijenosima sredstava glavnog partnera. Također, prema obavijesti Ministarstva znanosti, obrazovanja</w:t>
      </w:r>
      <w:r w:rsidR="0090399A">
        <w:rPr>
          <w:rFonts w:ascii="Times New Roman" w:hAnsi="Times New Roman" w:cs="Times New Roman"/>
          <w:sz w:val="24"/>
          <w:szCs w:val="24"/>
        </w:rPr>
        <w:t xml:space="preserve"> i mladih od 05.12.2025</w:t>
      </w:r>
      <w:r w:rsidR="00070028">
        <w:rPr>
          <w:rFonts w:ascii="Times New Roman" w:hAnsi="Times New Roman" w:cs="Times New Roman"/>
          <w:sz w:val="24"/>
          <w:szCs w:val="24"/>
        </w:rPr>
        <w:t>.</w:t>
      </w:r>
      <w:r w:rsidR="006065E7">
        <w:rPr>
          <w:rFonts w:ascii="Times New Roman" w:hAnsi="Times New Roman" w:cs="Times New Roman"/>
          <w:sz w:val="24"/>
          <w:szCs w:val="24"/>
        </w:rPr>
        <w:t xml:space="preserve"> u Izmjenama i dop</w:t>
      </w:r>
      <w:r w:rsidR="0090399A">
        <w:rPr>
          <w:rFonts w:ascii="Times New Roman" w:hAnsi="Times New Roman" w:cs="Times New Roman"/>
          <w:sz w:val="24"/>
          <w:szCs w:val="24"/>
        </w:rPr>
        <w:t>unama financijskog plana za 2025</w:t>
      </w:r>
      <w:r w:rsidR="006065E7">
        <w:rPr>
          <w:rFonts w:ascii="Times New Roman" w:hAnsi="Times New Roman" w:cs="Times New Roman"/>
          <w:sz w:val="24"/>
          <w:szCs w:val="24"/>
        </w:rPr>
        <w:t>.</w:t>
      </w:r>
      <w:r w:rsidR="00070028">
        <w:rPr>
          <w:rFonts w:ascii="Times New Roman" w:hAnsi="Times New Roman" w:cs="Times New Roman"/>
          <w:sz w:val="24"/>
          <w:szCs w:val="24"/>
        </w:rPr>
        <w:t xml:space="preserve"> proračunski korisnici</w:t>
      </w:r>
      <w:r w:rsidR="006065E7">
        <w:rPr>
          <w:rFonts w:ascii="Times New Roman" w:hAnsi="Times New Roman" w:cs="Times New Roman"/>
          <w:sz w:val="24"/>
          <w:szCs w:val="24"/>
        </w:rPr>
        <w:t xml:space="preserve"> </w:t>
      </w:r>
      <w:r w:rsidR="00070028">
        <w:rPr>
          <w:rFonts w:ascii="Times New Roman" w:hAnsi="Times New Roman" w:cs="Times New Roman"/>
          <w:sz w:val="24"/>
          <w:szCs w:val="24"/>
        </w:rPr>
        <w:t xml:space="preserve">morali su poštivati zadane limite, stoga nije bilo moguće iskazati planirane rashode za </w:t>
      </w:r>
      <w:r w:rsidR="0090399A">
        <w:rPr>
          <w:rFonts w:ascii="Times New Roman" w:hAnsi="Times New Roman" w:cs="Times New Roman"/>
          <w:sz w:val="24"/>
          <w:szCs w:val="24"/>
        </w:rPr>
        <w:t>sv</w:t>
      </w:r>
      <w:r w:rsidR="00070028">
        <w:rPr>
          <w:rFonts w:ascii="Times New Roman" w:hAnsi="Times New Roman" w:cs="Times New Roman"/>
          <w:sz w:val="24"/>
          <w:szCs w:val="24"/>
        </w:rPr>
        <w:t>e projekte.</w:t>
      </w:r>
    </w:p>
    <w:p w14:paraId="69FD81F2" w14:textId="0945AAF4" w:rsid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0BC1241" w14:textId="77777777" w:rsidR="00070028" w:rsidRPr="0006773D" w:rsidRDefault="00070028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D6F2157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PRIJENOS SREDSTAVA IZ PRETHODNE I U SLJEDEĆU GODINU</w:t>
      </w:r>
    </w:p>
    <w:p w14:paraId="6B5EED2E" w14:textId="247D81D9" w:rsidR="0006773D" w:rsidRPr="00C469C5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Planirani donos sred</w:t>
      </w:r>
      <w:r w:rsidR="0090399A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stava iz prethodne godine u 2025. godinu u iznosu 2.635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0399A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981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odnosi se na donos od 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188.500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vlastitih prihoda izvora 31, </w:t>
      </w:r>
      <w:r w:rsidR="0090399A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1.4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90399A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650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namjenskih prihoda uglavnom od školarina na izvoru 43, 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180.017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donosa za EU projekte izvora 51 (Erasmus+ BLISS </w:t>
      </w:r>
      <w:r w:rsidR="00D17B62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15.393 eura, Erasmus+ TSAAI 2.354 eura, INNO2MARE 122.874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D17B62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, NAHV 18.000, Erasmus+ NEST4WB 13.251 eur, Erasmus+ AISE 2.841 eur, Erasmus+ Sustrainable 5.304 eur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758.107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070028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donosa na izvoru 52 </w:t>
      </w:r>
      <w:r w:rsidR="00D40D1B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070028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za</w:t>
      </w:r>
      <w:r w:rsidR="00D40D1B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17B62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UniRi i HRZZ projekte 514.794</w:t>
      </w:r>
      <w:r w:rsidR="00D40D1B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</w:t>
      </w:r>
      <w:r w:rsidR="00C469C5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YUFERING 12.453 eur, </w:t>
      </w:r>
      <w:r w:rsidR="00D40D1B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Erasmus+ Girls</w:t>
      </w:r>
      <w:r w:rsidR="00C469C5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go STEM 1.212 eura, Erasmus+ SmAIle 9.98</w:t>
      </w:r>
      <w:r w:rsidR="00D40D1B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 eura, Erasmus+ EVERYONE </w:t>
      </w:r>
      <w:r w:rsidR="00C469C5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33.633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C469C5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, KLIMOD 37.023 eur, AI4Helath.Cro 7.000 eur, EuroCC2  85.175 eura, Erasmus+ WICT 11.541 eur, CRECI 34.996 eur, DATACROSS 10.300 eur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35.772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donosa na izvoru 581,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donosa 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1.971 eur </w:t>
      </w:r>
      <w:r w:rsidR="00C469C5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na izvoru 61</w:t>
      </w:r>
      <w:r w:rsidR="000F065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, te 50.964 eura donosa na izvoru 71</w:t>
      </w:r>
      <w:r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79403DD" w14:textId="14A7379B" w:rsidR="00070028" w:rsidRDefault="00070028" w:rsidP="00070028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Planirani prijenos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>sredstava iz 2025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godine u sljedeću godinu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iznosu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>1.811.280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odnosi se na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prijenos od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>14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0.000 eura vlastitih prihoda izvora 31,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zatim prijenos od </w:t>
      </w:r>
      <w:r w:rsidR="00D40D1B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0F0650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001</w:t>
      </w:r>
      <w:r w:rsidR="00D40D1B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F0650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D40D1B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namjenskih prihoda uglavn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om od školarina na izvoru 43,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>114.500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>prijenosa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EU projekte izvora 51 (</w:t>
      </w:r>
      <w:r w:rsid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INNO2MARE 8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.5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00 eura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NAHV 18.000 eura, Erasmus+ NEST4WB 8.00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>0 eura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>454.949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>prijeno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 na izvoru 52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za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projekte HRZZ i </w:t>
      </w:r>
      <w:r w:rsidR="00D40D1B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UniRi </w:t>
      </w:r>
      <w:r w:rsidR="00D17B62" w:rsidRP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179.794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YUFERING 12.453 eur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KLIMOD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14.367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Erasmus+ EVERYONE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81.633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Erasmus </w:t>
      </w:r>
      <w:r w:rsidR="001417D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SmAIle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9.980</w:t>
      </w:r>
      <w:r w:rsidR="001417D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417D0" w:rsidRPr="00C469C5">
        <w:rPr>
          <w:rFonts w:ascii="Times New Roman" w:eastAsiaTheme="minorHAnsi" w:hAnsi="Times New Roman" w:cs="Times New Roman"/>
          <w:sz w:val="24"/>
          <w:szCs w:val="24"/>
          <w:lang w:eastAsia="en-US"/>
        </w:rPr>
        <w:t>AI4Helath.Cro 7.000 eur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EURO CC2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28.762</w:t>
      </w:r>
      <w:r w:rsidR="00D4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, NPOO BrainClock 47.589 eur, Erasmus+ WICT 73.371 eur</w:t>
      </w:r>
      <w:r w:rsidR="00A94CE6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16.588 eura prijenosa na izvoru 581,</w:t>
      </w:r>
      <w:r w:rsidR="00A94C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 prijen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osa </w:t>
      </w:r>
      <w:r w:rsidR="00A94C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sredstava u iduću godinu 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izvoru 61 </w:t>
      </w:r>
      <w:r w:rsidR="00A94C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iznosu </w:t>
      </w:r>
      <w:r w:rsidR="000F06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84.243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eura (SPIN projekti</w:t>
      </w:r>
      <w:r w:rsidR="00A94CE6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18D741CC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503F04D" w14:textId="7A157820" w:rsid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4AE5299" w14:textId="5FE04B8C" w:rsidR="001417D0" w:rsidRDefault="001417D0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ABF33FE" w14:textId="77777777" w:rsidR="00BA6F35" w:rsidRDefault="00BA6F35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041FC0E" w14:textId="77777777" w:rsidR="001417D0" w:rsidRPr="0006773D" w:rsidRDefault="001417D0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469E4A5" w14:textId="77777777" w:rsidR="0006773D" w:rsidRPr="0006773D" w:rsidRDefault="0006773D" w:rsidP="0006773D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UKUPNE I DOSPJELE OBVEZE</w:t>
      </w:r>
    </w:p>
    <w:p w14:paraId="6D752DA2" w14:textId="77777777" w:rsidR="0006773D" w:rsidRPr="0006773D" w:rsidRDefault="0006773D" w:rsidP="0006773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Stanje ukupnih i dospjelih obveza korisnika na dan 31. prosinca prethodne godine i na dan 30. lipnja tekuće godine: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06773D" w:rsidRPr="0006773D" w14:paraId="1BEF7E6C" w14:textId="77777777" w:rsidTr="00070028">
        <w:tc>
          <w:tcPr>
            <w:tcW w:w="1838" w:type="dxa"/>
          </w:tcPr>
          <w:p w14:paraId="436499AF" w14:textId="77777777" w:rsidR="0006773D" w:rsidRPr="0006773D" w:rsidRDefault="0006773D" w:rsidP="000677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568B5E7" w14:textId="55E42EE4" w:rsidR="0006773D" w:rsidRPr="0006773D" w:rsidRDefault="00642A68" w:rsidP="000677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Stanje obveza na dan 31.12.2024</w:t>
            </w:r>
            <w:r w:rsidR="0006773D" w:rsidRPr="0006773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0" w:type="dxa"/>
          </w:tcPr>
          <w:p w14:paraId="1D1724E7" w14:textId="51F8A8DE" w:rsidR="0006773D" w:rsidRPr="0006773D" w:rsidRDefault="00642A68" w:rsidP="000677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Stanje obveza na dan 30.06.2025</w:t>
            </w:r>
            <w:r w:rsidR="0006773D" w:rsidRPr="0006773D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06773D" w:rsidRPr="0006773D" w14:paraId="3D8AB667" w14:textId="77777777" w:rsidTr="00070028">
        <w:tc>
          <w:tcPr>
            <w:tcW w:w="1838" w:type="dxa"/>
          </w:tcPr>
          <w:p w14:paraId="4DD1BA2B" w14:textId="77777777" w:rsidR="0006773D" w:rsidRPr="0006773D" w:rsidRDefault="0006773D" w:rsidP="0006773D">
            <w:pPr>
              <w:jc w:val="both"/>
              <w:rPr>
                <w:sz w:val="24"/>
                <w:szCs w:val="24"/>
                <w:lang w:eastAsia="en-US"/>
              </w:rPr>
            </w:pPr>
            <w:r w:rsidRPr="0006773D">
              <w:rPr>
                <w:sz w:val="24"/>
                <w:szCs w:val="24"/>
                <w:lang w:eastAsia="en-US"/>
              </w:rPr>
              <w:t>Ukupne obveze</w:t>
            </w:r>
          </w:p>
        </w:tc>
        <w:tc>
          <w:tcPr>
            <w:tcW w:w="3544" w:type="dxa"/>
          </w:tcPr>
          <w:p w14:paraId="01DFE1A9" w14:textId="3D6FE918" w:rsidR="0006773D" w:rsidRPr="0006773D" w:rsidRDefault="0006773D" w:rsidP="00E433A8">
            <w:pPr>
              <w:jc w:val="both"/>
              <w:rPr>
                <w:sz w:val="24"/>
                <w:szCs w:val="24"/>
                <w:lang w:eastAsia="en-US"/>
              </w:rPr>
            </w:pPr>
            <w:r w:rsidRPr="0006773D">
              <w:rPr>
                <w:sz w:val="24"/>
                <w:szCs w:val="24"/>
                <w:lang w:eastAsia="en-US"/>
              </w:rPr>
              <w:t xml:space="preserve">            </w:t>
            </w:r>
            <w:r w:rsidR="00BA6F35">
              <w:rPr>
                <w:sz w:val="24"/>
                <w:szCs w:val="24"/>
                <w:lang w:eastAsia="en-US"/>
              </w:rPr>
              <w:t>861.905</w:t>
            </w:r>
            <w:r w:rsidRPr="0006773D">
              <w:rPr>
                <w:sz w:val="24"/>
                <w:szCs w:val="24"/>
                <w:lang w:eastAsia="en-US"/>
              </w:rPr>
              <w:t xml:space="preserve"> eur</w:t>
            </w:r>
          </w:p>
        </w:tc>
        <w:tc>
          <w:tcPr>
            <w:tcW w:w="3680" w:type="dxa"/>
          </w:tcPr>
          <w:p w14:paraId="04E0C24D" w14:textId="51E7769C" w:rsidR="0006773D" w:rsidRPr="0006773D" w:rsidRDefault="0006773D" w:rsidP="00BA6F35">
            <w:pPr>
              <w:jc w:val="both"/>
              <w:rPr>
                <w:sz w:val="24"/>
                <w:szCs w:val="24"/>
                <w:lang w:eastAsia="en-US"/>
              </w:rPr>
            </w:pPr>
            <w:r w:rsidRPr="0006773D">
              <w:rPr>
                <w:sz w:val="24"/>
                <w:szCs w:val="24"/>
                <w:lang w:eastAsia="en-US"/>
              </w:rPr>
              <w:t xml:space="preserve">               </w:t>
            </w:r>
            <w:r w:rsidR="00BA6F35">
              <w:rPr>
                <w:sz w:val="24"/>
                <w:szCs w:val="24"/>
                <w:lang w:eastAsia="en-US"/>
              </w:rPr>
              <w:t>746.155</w:t>
            </w:r>
            <w:r w:rsidRPr="0006773D">
              <w:rPr>
                <w:sz w:val="24"/>
                <w:szCs w:val="24"/>
                <w:lang w:eastAsia="en-US"/>
              </w:rPr>
              <w:t xml:space="preserve"> eur</w:t>
            </w:r>
          </w:p>
        </w:tc>
      </w:tr>
      <w:tr w:rsidR="0006773D" w:rsidRPr="0006773D" w14:paraId="3C37CDEF" w14:textId="77777777" w:rsidTr="00070028">
        <w:tc>
          <w:tcPr>
            <w:tcW w:w="1838" w:type="dxa"/>
          </w:tcPr>
          <w:p w14:paraId="0D846142" w14:textId="77777777" w:rsidR="0006773D" w:rsidRPr="0006773D" w:rsidRDefault="0006773D" w:rsidP="0006773D">
            <w:pPr>
              <w:jc w:val="both"/>
              <w:rPr>
                <w:sz w:val="24"/>
                <w:szCs w:val="24"/>
                <w:lang w:eastAsia="en-US"/>
              </w:rPr>
            </w:pPr>
            <w:r w:rsidRPr="0006773D">
              <w:rPr>
                <w:sz w:val="24"/>
                <w:szCs w:val="24"/>
                <w:lang w:eastAsia="en-US"/>
              </w:rPr>
              <w:t>Dospjele obveze</w:t>
            </w:r>
          </w:p>
        </w:tc>
        <w:tc>
          <w:tcPr>
            <w:tcW w:w="3544" w:type="dxa"/>
          </w:tcPr>
          <w:p w14:paraId="2A93CEFC" w14:textId="77777777" w:rsidR="0006773D" w:rsidRPr="0006773D" w:rsidRDefault="0006773D" w:rsidP="0006773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0" w:type="dxa"/>
          </w:tcPr>
          <w:p w14:paraId="03786142" w14:textId="77777777" w:rsidR="0006773D" w:rsidRPr="0006773D" w:rsidRDefault="0006773D" w:rsidP="0006773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43E42310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220377" w14:textId="66892CCD" w:rsidR="0006773D" w:rsidRPr="0006773D" w:rsidRDefault="0006773D" w:rsidP="0006773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Stanje obveza na</w:t>
      </w:r>
      <w:r w:rsidR="00642A68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početku godine, na dan 1.1.2025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. iznosilo je 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861.905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eura.</w:t>
      </w:r>
    </w:p>
    <w:p w14:paraId="283A3C4D" w14:textId="2EBDAFED" w:rsidR="0006773D" w:rsidRPr="0006773D" w:rsidRDefault="0006773D" w:rsidP="0006773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Stanje nedospjelih obveza na kraju izvještaj</w:t>
      </w:r>
      <w:r w:rsidR="00642A68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nog razdoblja, na dan 30.06.2025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. iznosi 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746.155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eura i sadrži:</w:t>
      </w:r>
    </w:p>
    <w:p w14:paraId="5D281789" w14:textId="4FFDC9C8" w:rsidR="0006773D" w:rsidRPr="0006773D" w:rsidRDefault="0006773D" w:rsidP="0006773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međusobne obveze proračunskih korisnika 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12.295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eura;</w:t>
      </w:r>
    </w:p>
    <w:p w14:paraId="661BBA22" w14:textId="446A970C" w:rsidR="0006773D" w:rsidRPr="0006773D" w:rsidRDefault="0006773D" w:rsidP="0006773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obveze za rashode poslovanja 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722.438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eura;</w:t>
      </w:r>
    </w:p>
    <w:p w14:paraId="4006ED52" w14:textId="77777777" w:rsidR="00BA6F35" w:rsidRDefault="0006773D" w:rsidP="0006773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obveze za nabavu nefinancijske imovine 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2.808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eura</w:t>
      </w:r>
      <w:r w:rsidR="00BA6F35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;</w:t>
      </w:r>
    </w:p>
    <w:p w14:paraId="50C0A29C" w14:textId="170A430E" w:rsidR="0006773D" w:rsidRPr="0006773D" w:rsidRDefault="00BA6F35" w:rsidP="0006773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obveze za predujmove, depozite, jamčevne pologe i tuđe prihode 8.614 eur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.</w:t>
      </w:r>
    </w:p>
    <w:p w14:paraId="092B28F8" w14:textId="77777777" w:rsidR="0006773D" w:rsidRPr="0006773D" w:rsidRDefault="0006773D" w:rsidP="0006773D">
      <w:pPr>
        <w:spacing w:after="0" w:line="276" w:lineRule="auto"/>
        <w:ind w:left="288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  <w:t xml:space="preserve">     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</w:r>
    </w:p>
    <w:p w14:paraId="57CF73F4" w14:textId="77777777" w:rsidR="0006773D" w:rsidRPr="0006773D" w:rsidRDefault="0006773D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4CA04AE1" w14:textId="5EC8801D" w:rsidR="0006773D" w:rsidRPr="0006773D" w:rsidRDefault="00114266" w:rsidP="0006773D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Rijeci, 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0. prosinca 202</w:t>
      </w:r>
      <w:r w:rsidR="001417D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06773D" w:rsidRPr="000677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3C658184" w14:textId="77777777" w:rsidR="0006773D" w:rsidRPr="0006773D" w:rsidRDefault="0006773D" w:rsidP="0006773D">
      <w:pPr>
        <w:spacing w:after="0" w:line="276" w:lineRule="auto"/>
        <w:ind w:left="576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     </w:t>
      </w:r>
      <w:r w:rsidRPr="0006773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ab/>
        <w:t xml:space="preserve"> Odgovorna osoba:</w:t>
      </w:r>
    </w:p>
    <w:p w14:paraId="1D266E63" w14:textId="77777777" w:rsidR="0006773D" w:rsidRPr="0006773D" w:rsidRDefault="0006773D" w:rsidP="0006773D">
      <w:pPr>
        <w:spacing w:after="60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tbl>
      <w:tblPr>
        <w:tblStyle w:val="TableGrid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2"/>
        <w:gridCol w:w="3617"/>
      </w:tblGrid>
      <w:tr w:rsidR="0006773D" w:rsidRPr="0006773D" w14:paraId="51504AE6" w14:textId="77777777" w:rsidTr="00070028">
        <w:trPr>
          <w:trHeight w:val="1998"/>
        </w:trPr>
        <w:tc>
          <w:tcPr>
            <w:tcW w:w="6552" w:type="dxa"/>
          </w:tcPr>
          <w:p w14:paraId="66657FBD" w14:textId="77777777" w:rsidR="0006773D" w:rsidRPr="0006773D" w:rsidRDefault="0006773D" w:rsidP="0006773D">
            <w:pPr>
              <w:spacing w:after="60"/>
              <w:rPr>
                <w:sz w:val="24"/>
                <w:szCs w:val="24"/>
                <w:lang w:val="hr-HR" w:eastAsia="en-US"/>
              </w:rPr>
            </w:pPr>
          </w:p>
          <w:p w14:paraId="5EE26334" w14:textId="77777777" w:rsidR="0006773D" w:rsidRPr="0006773D" w:rsidRDefault="0006773D" w:rsidP="0006773D">
            <w:pPr>
              <w:spacing w:after="60"/>
              <w:ind w:right="164"/>
              <w:jc w:val="center"/>
              <w:rPr>
                <w:sz w:val="24"/>
                <w:szCs w:val="24"/>
                <w:lang w:val="hr-HR" w:eastAsia="en-US"/>
              </w:rPr>
            </w:pPr>
          </w:p>
        </w:tc>
        <w:tc>
          <w:tcPr>
            <w:tcW w:w="3617" w:type="dxa"/>
          </w:tcPr>
          <w:p w14:paraId="2E04B129" w14:textId="77777777" w:rsidR="0006773D" w:rsidRPr="0006773D" w:rsidRDefault="0006773D" w:rsidP="0006773D">
            <w:pPr>
              <w:spacing w:after="60"/>
              <w:ind w:firstLine="4"/>
              <w:rPr>
                <w:sz w:val="24"/>
                <w:szCs w:val="24"/>
                <w:lang w:val="hr-HR" w:eastAsia="en-US"/>
              </w:rPr>
            </w:pPr>
            <w:r w:rsidRPr="0006773D">
              <w:rPr>
                <w:sz w:val="24"/>
                <w:szCs w:val="24"/>
                <w:lang w:val="hr-HR" w:eastAsia="en-US"/>
              </w:rPr>
              <w:t xml:space="preserve">          DEKAN</w:t>
            </w:r>
          </w:p>
          <w:p w14:paraId="050D419F" w14:textId="77777777" w:rsidR="0006773D" w:rsidRPr="0006773D" w:rsidRDefault="0006773D" w:rsidP="0006773D">
            <w:pPr>
              <w:spacing w:after="60"/>
              <w:rPr>
                <w:sz w:val="24"/>
                <w:szCs w:val="24"/>
                <w:lang w:val="hr-HR" w:eastAsia="en-US"/>
              </w:rPr>
            </w:pPr>
            <w:r w:rsidRPr="0006773D">
              <w:rPr>
                <w:sz w:val="24"/>
                <w:szCs w:val="24"/>
                <w:lang w:val="hr-HR" w:eastAsia="en-US"/>
              </w:rPr>
              <w:t>M.P.  Prof. dr. sc. Lado Kranjčević</w:t>
            </w:r>
          </w:p>
          <w:p w14:paraId="689B2E6D" w14:textId="77777777" w:rsidR="0006773D" w:rsidRPr="0006773D" w:rsidRDefault="0006773D" w:rsidP="0006773D">
            <w:pPr>
              <w:spacing w:after="60"/>
              <w:ind w:firstLine="4"/>
              <w:rPr>
                <w:sz w:val="24"/>
                <w:szCs w:val="24"/>
                <w:lang w:val="hr-HR" w:eastAsia="en-US"/>
              </w:rPr>
            </w:pPr>
          </w:p>
          <w:p w14:paraId="2450F83F" w14:textId="77777777" w:rsidR="0006773D" w:rsidRPr="0006773D" w:rsidRDefault="0006773D" w:rsidP="0006773D">
            <w:pPr>
              <w:spacing w:after="60"/>
              <w:ind w:firstLine="4"/>
              <w:rPr>
                <w:sz w:val="24"/>
                <w:szCs w:val="24"/>
                <w:lang w:val="hr-HR" w:eastAsia="en-US"/>
              </w:rPr>
            </w:pPr>
            <w:r w:rsidRPr="0006773D">
              <w:rPr>
                <w:sz w:val="24"/>
                <w:szCs w:val="24"/>
                <w:lang w:val="hr-HR" w:eastAsia="en-US"/>
              </w:rPr>
              <w:t xml:space="preserve">          _______________________</w:t>
            </w:r>
          </w:p>
        </w:tc>
      </w:tr>
    </w:tbl>
    <w:p w14:paraId="2DF54EE4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1" w:name="_heading=h.ygn1qkxmk8d" w:colFirst="0" w:colLast="0"/>
      <w:bookmarkStart w:id="2" w:name="_heading=h.4vbgye9tenbi" w:colFirst="0" w:colLast="0"/>
      <w:bookmarkStart w:id="3" w:name="_heading=h.pwgtfevtlpe0" w:colFirst="0" w:colLast="0"/>
      <w:bookmarkStart w:id="4" w:name="_heading=h.b6dyqymz9jcl" w:colFirst="0" w:colLast="0"/>
      <w:bookmarkStart w:id="5" w:name="_heading=h.75bpwjghlz89" w:colFirst="0" w:colLast="0"/>
      <w:bookmarkStart w:id="6" w:name="_heading=h.o1ze19v7la7q" w:colFirst="0" w:colLast="0"/>
      <w:bookmarkStart w:id="7" w:name="_heading=h.7dvhp9h7jseh" w:colFirst="0" w:colLast="0"/>
      <w:bookmarkStart w:id="8" w:name="_heading=h.siz25dg17gl2" w:colFirst="0" w:colLast="0"/>
      <w:bookmarkStart w:id="9" w:name="_heading=h.4uzsfsiwo7ps" w:colFirst="0" w:colLast="0"/>
      <w:bookmarkStart w:id="10" w:name="_heading=h.jjeqrm9n2del" w:colFirst="0" w:colLast="0"/>
      <w:bookmarkStart w:id="11" w:name="_heading=h.einzpgkn1ihi" w:colFirst="0" w:colLast="0"/>
      <w:bookmarkStart w:id="12" w:name="_heading=h.m7f2dnn3zucg" w:colFirst="0" w:colLast="0"/>
      <w:bookmarkStart w:id="13" w:name="_heading=h.b5rrlfc0snna" w:colFirst="0" w:colLast="0"/>
      <w:bookmarkStart w:id="14" w:name="_heading=h.a3qoobrgg52p" w:colFirst="0" w:colLast="0"/>
      <w:bookmarkStart w:id="15" w:name="_heading=h.bmqnlnvfm4ei" w:colFirst="0" w:colLast="0"/>
      <w:bookmarkStart w:id="16" w:name="_heading=h.bxek01dsoh51" w:colFirst="0" w:colLast="0"/>
      <w:bookmarkStart w:id="17" w:name="_heading=h.5fp8382itir7" w:colFirst="0" w:colLast="0"/>
      <w:bookmarkStart w:id="18" w:name="_heading=h.ocbb27yi3aws" w:colFirst="0" w:colLast="0"/>
      <w:bookmarkStart w:id="19" w:name="_heading=h.7duhxj640qp" w:colFirst="0" w:colLast="0"/>
      <w:bookmarkStart w:id="20" w:name="_heading=h.vo3d9xi748p3" w:colFirst="0" w:colLast="0"/>
      <w:bookmarkStart w:id="21" w:name="_heading=h.rcgwhzooowg1" w:colFirst="0" w:colLast="0"/>
      <w:bookmarkStart w:id="22" w:name="_heading=h.b1yom66bxn8b" w:colFirst="0" w:colLast="0"/>
      <w:bookmarkStart w:id="23" w:name="_heading=h.y9xn0023mdn2" w:colFirst="0" w:colLast="0"/>
      <w:bookmarkStart w:id="24" w:name="_heading=h.7w8xk5v22k3r" w:colFirst="0" w:colLast="0"/>
      <w:bookmarkStart w:id="25" w:name="_heading=h.g7yhtilahlbr" w:colFirst="0" w:colLast="0"/>
      <w:bookmarkStart w:id="26" w:name="_heading=h.4yonaj5rbeme" w:colFirst="0" w:colLast="0"/>
      <w:bookmarkStart w:id="27" w:name="_heading=h.dn4xn1fh937z" w:colFirst="0" w:colLast="0"/>
      <w:bookmarkStart w:id="28" w:name="_heading=h.prwnm9vhu8qz" w:colFirst="0" w:colLast="0"/>
      <w:bookmarkStart w:id="29" w:name="_heading=h.9t8j096sveth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DF54EE5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30" w:name="_heading=h.76r8td9qneg3" w:colFirst="0" w:colLast="0"/>
      <w:bookmarkEnd w:id="30"/>
    </w:p>
    <w:p w14:paraId="2DF54EEC" w14:textId="3A5B7D41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31" w:name="_heading=h.sblllog8qk10" w:colFirst="0" w:colLast="0"/>
      <w:bookmarkStart w:id="32" w:name="_heading=h.xzkciwhfcpf7" w:colFirst="0" w:colLast="0"/>
      <w:bookmarkStart w:id="33" w:name="_heading=h.kssz09z1oqrt" w:colFirst="0" w:colLast="0"/>
      <w:bookmarkStart w:id="34" w:name="_heading=h.brsra0oyucbu" w:colFirst="0" w:colLast="0"/>
      <w:bookmarkStart w:id="35" w:name="_heading=h.u963vc66n4sh" w:colFirst="0" w:colLast="0"/>
      <w:bookmarkStart w:id="36" w:name="_heading=h.oawr5oa1t1ea" w:colFirst="0" w:colLast="0"/>
      <w:bookmarkStart w:id="37" w:name="_heading=h.b8se4zkpf9ly" w:colFirst="0" w:colLast="0"/>
      <w:bookmarkStart w:id="38" w:name="_GoBack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DF54EED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39" w:name="_heading=h.czita4d3986g" w:colFirst="0" w:colLast="0"/>
      <w:bookmarkEnd w:id="39"/>
    </w:p>
    <w:p w14:paraId="2DF54EEE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</w:p>
    <w:sectPr w:rsidR="00DA097C" w:rsidSect="00FF1C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5E90" w14:textId="77777777" w:rsidR="00BC37CF" w:rsidRDefault="00BC37CF">
      <w:pPr>
        <w:spacing w:after="0" w:line="240" w:lineRule="auto"/>
      </w:pPr>
      <w:r>
        <w:separator/>
      </w:r>
    </w:p>
  </w:endnote>
  <w:endnote w:type="continuationSeparator" w:id="0">
    <w:p w14:paraId="0537A099" w14:textId="77777777" w:rsidR="00BC37CF" w:rsidRDefault="00BC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C91DF7" w:rsidRDefault="00C91DF7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C91DF7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7B506BDF" w:rsidR="00C91DF7" w:rsidRDefault="00C91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BA6F35">
      <w:rPr>
        <w:rFonts w:ascii="Ubuntu" w:eastAsia="Ubuntu" w:hAnsi="Ubuntu" w:cs="Ubuntu"/>
        <w:noProof/>
        <w:color w:val="666666"/>
        <w:sz w:val="16"/>
        <w:szCs w:val="16"/>
      </w:rPr>
      <w:t>8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C91DF7" w:rsidRDefault="00C91DF7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C91DF7" w14:paraId="2DF54F0C" w14:textId="77777777"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C91DF7" w:rsidRDefault="00C91DF7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C91DF7" w:rsidRDefault="00C91DF7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C91DF7" w:rsidRDefault="00C91DF7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38A5" w14:textId="77777777" w:rsidR="00BC37CF" w:rsidRDefault="00BC37CF">
      <w:pPr>
        <w:spacing w:after="0" w:line="240" w:lineRule="auto"/>
      </w:pPr>
      <w:r>
        <w:separator/>
      </w:r>
    </w:p>
  </w:footnote>
  <w:footnote w:type="continuationSeparator" w:id="0">
    <w:p w14:paraId="7C07E2CD" w14:textId="77777777" w:rsidR="00BC37CF" w:rsidRDefault="00BC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C91DF7" w:rsidRDefault="00C91DF7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C91DF7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C91DF7" w:rsidRDefault="00C91DF7">
          <w:pPr>
            <w:tabs>
              <w:tab w:val="left" w:pos="1185"/>
            </w:tabs>
            <w:spacing w:line="240" w:lineRule="auto"/>
          </w:pPr>
          <w:r>
            <w:rPr>
              <w:noProof/>
              <w:lang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C91DF7" w:rsidRDefault="00C91DF7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C91DF7" w:rsidRDefault="00C91D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C91DF7" w:rsidRDefault="00C91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C91DF7" w14:paraId="2DF54F01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C91DF7" w:rsidRDefault="00C91DF7">
          <w:pPr>
            <w:tabs>
              <w:tab w:val="left" w:pos="1185"/>
            </w:tabs>
            <w:spacing w:line="240" w:lineRule="auto"/>
            <w:jc w:val="center"/>
          </w:pPr>
          <w:bookmarkStart w:id="40" w:name="_heading=h.gjdgxs" w:colFirst="0" w:colLast="0"/>
          <w:bookmarkEnd w:id="40"/>
          <w:r>
            <w:rPr>
              <w:noProof/>
              <w:lang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C91DF7" w:rsidRDefault="00C91DF7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C91DF7" w:rsidRDefault="00C91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ADB"/>
    <w:multiLevelType w:val="hybridMultilevel"/>
    <w:tmpl w:val="54442CA6"/>
    <w:lvl w:ilvl="0" w:tplc="FA808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B33C8"/>
    <w:multiLevelType w:val="hybridMultilevel"/>
    <w:tmpl w:val="7082AD4A"/>
    <w:lvl w:ilvl="0" w:tplc="EDDA8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7233"/>
    <w:multiLevelType w:val="hybridMultilevel"/>
    <w:tmpl w:val="995AA99E"/>
    <w:lvl w:ilvl="0" w:tplc="33826134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6773D"/>
    <w:rsid w:val="00070028"/>
    <w:rsid w:val="000F0650"/>
    <w:rsid w:val="00101CC8"/>
    <w:rsid w:val="00114266"/>
    <w:rsid w:val="0011445B"/>
    <w:rsid w:val="001417D0"/>
    <w:rsid w:val="001452B1"/>
    <w:rsid w:val="001B73AE"/>
    <w:rsid w:val="00254909"/>
    <w:rsid w:val="002D4690"/>
    <w:rsid w:val="0030124C"/>
    <w:rsid w:val="00383382"/>
    <w:rsid w:val="003D1FFB"/>
    <w:rsid w:val="00422DAC"/>
    <w:rsid w:val="00432A5E"/>
    <w:rsid w:val="004D54F1"/>
    <w:rsid w:val="0050494D"/>
    <w:rsid w:val="005120D5"/>
    <w:rsid w:val="0053534D"/>
    <w:rsid w:val="006065E7"/>
    <w:rsid w:val="00642A68"/>
    <w:rsid w:val="00671A3A"/>
    <w:rsid w:val="006F4FDC"/>
    <w:rsid w:val="007918C2"/>
    <w:rsid w:val="008B2573"/>
    <w:rsid w:val="008E13B3"/>
    <w:rsid w:val="008F541F"/>
    <w:rsid w:val="0090399A"/>
    <w:rsid w:val="00923335"/>
    <w:rsid w:val="00926C00"/>
    <w:rsid w:val="0098739C"/>
    <w:rsid w:val="009C04CD"/>
    <w:rsid w:val="00A25450"/>
    <w:rsid w:val="00A65746"/>
    <w:rsid w:val="00A81A50"/>
    <w:rsid w:val="00A94CE6"/>
    <w:rsid w:val="00BA6F35"/>
    <w:rsid w:val="00BB1842"/>
    <w:rsid w:val="00BC37CF"/>
    <w:rsid w:val="00C13DCF"/>
    <w:rsid w:val="00C43FC1"/>
    <w:rsid w:val="00C469C5"/>
    <w:rsid w:val="00C91DF7"/>
    <w:rsid w:val="00C92FD8"/>
    <w:rsid w:val="00CD1BC7"/>
    <w:rsid w:val="00CD3E42"/>
    <w:rsid w:val="00D17B62"/>
    <w:rsid w:val="00D40D1B"/>
    <w:rsid w:val="00DA048E"/>
    <w:rsid w:val="00DA097C"/>
    <w:rsid w:val="00E433A8"/>
    <w:rsid w:val="00ED174C"/>
    <w:rsid w:val="00EE480C"/>
    <w:rsid w:val="00EE57AB"/>
    <w:rsid w:val="00F73403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uiPriority w:val="39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3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FC8B298-343E-4B3A-A7EE-4B7DA70F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19</cp:revision>
  <cp:lastPrinted>2024-12-06T10:59:00Z</cp:lastPrinted>
  <dcterms:created xsi:type="dcterms:W3CDTF">2024-03-20T09:49:00Z</dcterms:created>
  <dcterms:modified xsi:type="dcterms:W3CDTF">2025-12-12T18:45:00Z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