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7BE8E" w14:textId="77777777" w:rsidR="00FC1306" w:rsidRPr="00126202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tdnsi2tm07i" w:colFirst="0" w:colLast="0"/>
      <w:bookmarkEnd w:id="0"/>
      <w:r w:rsidRPr="00126202">
        <w:rPr>
          <w:rFonts w:ascii="Times New Roman" w:hAnsi="Times New Roman" w:cs="Times New Roman"/>
          <w:sz w:val="24"/>
          <w:szCs w:val="24"/>
        </w:rPr>
        <w:t>Naziv obveznika:</w:t>
      </w:r>
      <w:r w:rsidRPr="00126202">
        <w:rPr>
          <w:rFonts w:ascii="Times New Roman" w:hAnsi="Times New Roman" w:cs="Times New Roman"/>
          <w:sz w:val="24"/>
          <w:szCs w:val="24"/>
        </w:rPr>
        <w:tab/>
      </w:r>
      <w:r w:rsidRPr="00126202">
        <w:rPr>
          <w:rFonts w:ascii="Times New Roman" w:hAnsi="Times New Roman" w:cs="Times New Roman"/>
          <w:b/>
          <w:sz w:val="24"/>
          <w:szCs w:val="24"/>
        </w:rPr>
        <w:t>SVEUČILIŠTE U RIJECI - TEHNIČKI FAKULTET</w:t>
      </w:r>
    </w:p>
    <w:p w14:paraId="09660C14" w14:textId="77777777" w:rsidR="00FC1306" w:rsidRPr="00126202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202">
        <w:rPr>
          <w:rFonts w:ascii="Times New Roman" w:hAnsi="Times New Roman" w:cs="Times New Roman"/>
          <w:sz w:val="24"/>
          <w:szCs w:val="24"/>
        </w:rPr>
        <w:t>Broj RKP-a:</w:t>
      </w:r>
      <w:r w:rsidRPr="00126202">
        <w:rPr>
          <w:rFonts w:ascii="Times New Roman" w:hAnsi="Times New Roman" w:cs="Times New Roman"/>
          <w:sz w:val="24"/>
          <w:szCs w:val="24"/>
        </w:rPr>
        <w:tab/>
      </w:r>
      <w:r w:rsidRPr="00126202">
        <w:rPr>
          <w:rFonts w:ascii="Times New Roman" w:hAnsi="Times New Roman" w:cs="Times New Roman"/>
          <w:sz w:val="24"/>
          <w:szCs w:val="24"/>
        </w:rPr>
        <w:tab/>
        <w:t>02151</w:t>
      </w:r>
    </w:p>
    <w:p w14:paraId="2AEA217A" w14:textId="77777777" w:rsidR="00FC1306" w:rsidRPr="00126202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202">
        <w:rPr>
          <w:rFonts w:ascii="Times New Roman" w:hAnsi="Times New Roman" w:cs="Times New Roman"/>
          <w:sz w:val="24"/>
          <w:szCs w:val="24"/>
        </w:rPr>
        <w:t xml:space="preserve">Matični broj: </w:t>
      </w:r>
      <w:r w:rsidRPr="00126202">
        <w:rPr>
          <w:rFonts w:ascii="Times New Roman" w:hAnsi="Times New Roman" w:cs="Times New Roman"/>
          <w:sz w:val="24"/>
          <w:szCs w:val="24"/>
        </w:rPr>
        <w:tab/>
      </w:r>
      <w:r w:rsidRPr="00126202">
        <w:rPr>
          <w:rFonts w:ascii="Times New Roman" w:hAnsi="Times New Roman" w:cs="Times New Roman"/>
          <w:sz w:val="24"/>
          <w:szCs w:val="24"/>
        </w:rPr>
        <w:tab/>
        <w:t>3334317</w:t>
      </w:r>
    </w:p>
    <w:p w14:paraId="7313005C" w14:textId="77777777" w:rsidR="00FC1306" w:rsidRPr="00126202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202">
        <w:rPr>
          <w:rFonts w:ascii="Times New Roman" w:hAnsi="Times New Roman" w:cs="Times New Roman"/>
          <w:sz w:val="24"/>
          <w:szCs w:val="24"/>
        </w:rPr>
        <w:t xml:space="preserve">OIB: </w:t>
      </w:r>
      <w:r w:rsidRPr="00126202">
        <w:rPr>
          <w:rFonts w:ascii="Times New Roman" w:hAnsi="Times New Roman" w:cs="Times New Roman"/>
          <w:sz w:val="24"/>
          <w:szCs w:val="24"/>
        </w:rPr>
        <w:tab/>
      </w:r>
      <w:r w:rsidRPr="00126202">
        <w:rPr>
          <w:rFonts w:ascii="Times New Roman" w:hAnsi="Times New Roman" w:cs="Times New Roman"/>
          <w:sz w:val="24"/>
          <w:szCs w:val="24"/>
        </w:rPr>
        <w:tab/>
      </w:r>
      <w:r w:rsidRPr="00126202">
        <w:rPr>
          <w:rFonts w:ascii="Times New Roman" w:hAnsi="Times New Roman" w:cs="Times New Roman"/>
          <w:sz w:val="24"/>
          <w:szCs w:val="24"/>
        </w:rPr>
        <w:tab/>
        <w:t>46319717480</w:t>
      </w:r>
    </w:p>
    <w:p w14:paraId="3B01CEB8" w14:textId="205FB3B2" w:rsidR="00FC1306" w:rsidRPr="00F427F4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>Pošta i mjesto:</w:t>
      </w:r>
      <w:r w:rsidR="0014044E"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  <w:t>51000 RIJEKA</w:t>
      </w:r>
    </w:p>
    <w:p w14:paraId="4F644814" w14:textId="77777777" w:rsidR="00FC1306" w:rsidRPr="00F427F4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>Ulica i kućni broj:</w:t>
      </w:r>
      <w:r w:rsidRPr="00F427F4">
        <w:rPr>
          <w:rFonts w:ascii="Times New Roman" w:hAnsi="Times New Roman" w:cs="Times New Roman"/>
          <w:sz w:val="24"/>
          <w:szCs w:val="24"/>
        </w:rPr>
        <w:tab/>
        <w:t>Vukovarska 58</w:t>
      </w:r>
    </w:p>
    <w:p w14:paraId="552DFBEF" w14:textId="77777777" w:rsidR="00FC1306" w:rsidRPr="00F427F4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Razina: </w:t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  <w:t>11</w:t>
      </w:r>
    </w:p>
    <w:p w14:paraId="6026E367" w14:textId="77777777" w:rsidR="00FC1306" w:rsidRPr="00F427F4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Pr="00F427F4">
        <w:rPr>
          <w:rFonts w:ascii="Times New Roman" w:hAnsi="Times New Roman" w:cs="Times New Roman"/>
          <w:sz w:val="24"/>
          <w:szCs w:val="24"/>
        </w:rPr>
        <w:tab/>
        <w:t>8542</w:t>
      </w:r>
    </w:p>
    <w:p w14:paraId="4EEECF9E" w14:textId="77777777" w:rsidR="00FC1306" w:rsidRPr="00F427F4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Razdjel: </w:t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  <w:t>080</w:t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</w:p>
    <w:p w14:paraId="3A9FBB23" w14:textId="77777777" w:rsidR="00FC1306" w:rsidRPr="00F427F4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>Šifra grada/opć.:</w:t>
      </w:r>
      <w:r w:rsidRPr="00F427F4">
        <w:rPr>
          <w:rFonts w:ascii="Times New Roman" w:hAnsi="Times New Roman" w:cs="Times New Roman"/>
          <w:sz w:val="24"/>
          <w:szCs w:val="24"/>
        </w:rPr>
        <w:tab/>
        <w:t>373</w:t>
      </w:r>
    </w:p>
    <w:p w14:paraId="198CC676" w14:textId="77777777" w:rsidR="00FC1306" w:rsidRPr="00F427F4" w:rsidRDefault="00FC1306" w:rsidP="00FC13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2C095E" w14:textId="77777777" w:rsidR="00126202" w:rsidRPr="00F427F4" w:rsidRDefault="00126202" w:rsidP="00126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4">
        <w:rPr>
          <w:rFonts w:ascii="Times New Roman" w:hAnsi="Times New Roman" w:cs="Times New Roman"/>
          <w:b/>
          <w:sz w:val="24"/>
          <w:szCs w:val="24"/>
        </w:rPr>
        <w:t xml:space="preserve">OBRAZLOŽENJE OPĆEG DIJELA GODIŠNJEG IZVJEŠTAJA </w:t>
      </w:r>
    </w:p>
    <w:p w14:paraId="6370494B" w14:textId="77777777" w:rsidR="00126202" w:rsidRPr="00F427F4" w:rsidRDefault="00126202" w:rsidP="00126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4">
        <w:rPr>
          <w:rFonts w:ascii="Times New Roman" w:hAnsi="Times New Roman" w:cs="Times New Roman"/>
          <w:b/>
          <w:sz w:val="24"/>
          <w:szCs w:val="24"/>
        </w:rPr>
        <w:t>O IZVRŠENJU  FINANCIJSKOG PLANA</w:t>
      </w:r>
    </w:p>
    <w:p w14:paraId="65B89CAF" w14:textId="2F546563" w:rsidR="00126202" w:rsidRPr="00F427F4" w:rsidRDefault="001C4272" w:rsidP="00126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razdoblje I.-XII. 2025</w:t>
      </w:r>
      <w:r w:rsidR="00126202" w:rsidRPr="00F427F4">
        <w:rPr>
          <w:rFonts w:ascii="Times New Roman" w:hAnsi="Times New Roman" w:cs="Times New Roman"/>
          <w:b/>
          <w:sz w:val="24"/>
          <w:szCs w:val="24"/>
        </w:rPr>
        <w:t>.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="00126202" w:rsidRPr="00F427F4">
        <w:rPr>
          <w:rFonts w:ascii="Times New Roman" w:hAnsi="Times New Roman" w:cs="Times New Roman"/>
          <w:b/>
          <w:sz w:val="24"/>
          <w:szCs w:val="24"/>
        </w:rPr>
        <w:t>god.</w:t>
      </w:r>
    </w:p>
    <w:p w14:paraId="765FC8A0" w14:textId="77777777" w:rsidR="00126202" w:rsidRPr="00F427F4" w:rsidRDefault="00126202" w:rsidP="0012620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3A0A746" w14:textId="57AA7BEF" w:rsidR="00126202" w:rsidRPr="00F427F4" w:rsidRDefault="00126202" w:rsidP="0012620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>Skladno članku 30. i 42. Pravilnika o polugodišnjem i godišnjem izvještaju o izvršenju proračuna i financijskog plana (NN 85/23), koji je stupio na snagu 25. srpnja 2023. god., proračunski korisnik Sveučilište u Rijeci – Tehnički fakultet sastavio je Godišnji izvještaj o izvršenju financijskog plana za razdoblje I.</w:t>
      </w:r>
      <w:r w:rsidR="001C4272">
        <w:rPr>
          <w:rFonts w:ascii="Times New Roman" w:hAnsi="Times New Roman" w:cs="Times New Roman"/>
          <w:sz w:val="24"/>
          <w:szCs w:val="24"/>
        </w:rPr>
        <w:t>-XII.2025</w:t>
      </w:r>
      <w:r w:rsidRPr="00F427F4">
        <w:rPr>
          <w:rFonts w:ascii="Times New Roman" w:hAnsi="Times New Roman" w:cs="Times New Roman"/>
          <w:sz w:val="24"/>
          <w:szCs w:val="24"/>
        </w:rPr>
        <w:t xml:space="preserve">. (opći i posebni dio), s obrazloženjem. U ovom obrazloženju daje se opća slika godišnjeg izvršenja financijskog plana kroz obrazloženje ostvarenja prihoda i rashoda, primitaka i izdataka te prijenosa sredstava iz prethodne u sljedeću godinu. </w:t>
      </w:r>
    </w:p>
    <w:p w14:paraId="553DF9BA" w14:textId="77777777" w:rsidR="00126202" w:rsidRPr="00F427F4" w:rsidRDefault="00126202" w:rsidP="001262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2317B" w14:textId="77777777" w:rsidR="00126202" w:rsidRPr="00F427F4" w:rsidRDefault="00126202" w:rsidP="001262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7F4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7A511E83" w14:textId="77777777" w:rsidR="00126202" w:rsidRPr="00F427F4" w:rsidRDefault="00126202" w:rsidP="001262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0C77D6" w14:textId="63813D43" w:rsidR="00126202" w:rsidRPr="00F427F4" w:rsidRDefault="00126202" w:rsidP="0012620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>T</w:t>
      </w:r>
      <w:r w:rsidR="001C4272">
        <w:rPr>
          <w:rFonts w:ascii="Times New Roman" w:hAnsi="Times New Roman" w:cs="Times New Roman"/>
          <w:sz w:val="24"/>
          <w:szCs w:val="24"/>
        </w:rPr>
        <w:t>ehnički fakultet u Rijeci u 2025</w:t>
      </w:r>
      <w:r w:rsidRPr="00F427F4">
        <w:rPr>
          <w:rFonts w:ascii="Times New Roman" w:hAnsi="Times New Roman" w:cs="Times New Roman"/>
          <w:sz w:val="24"/>
          <w:szCs w:val="24"/>
        </w:rPr>
        <w:t xml:space="preserve">. godini planirao je ukupne prihode u iznosu </w:t>
      </w:r>
      <w:r w:rsidR="0009550F" w:rsidRPr="0009550F">
        <w:rPr>
          <w:rFonts w:ascii="Times New Roman" w:hAnsi="Times New Roman" w:cs="Times New Roman"/>
          <w:sz w:val="24"/>
          <w:szCs w:val="24"/>
        </w:rPr>
        <w:t>1</w:t>
      </w:r>
      <w:r w:rsidR="0009550F">
        <w:rPr>
          <w:rFonts w:ascii="Times New Roman" w:hAnsi="Times New Roman" w:cs="Times New Roman"/>
          <w:sz w:val="24"/>
          <w:szCs w:val="24"/>
        </w:rPr>
        <w:t>0.900.898</w:t>
      </w:r>
      <w:r w:rsidR="0009550F" w:rsidRPr="0009550F">
        <w:rPr>
          <w:rFonts w:ascii="Times New Roman" w:hAnsi="Times New Roman" w:cs="Times New Roman"/>
          <w:sz w:val="24"/>
          <w:szCs w:val="24"/>
        </w:rPr>
        <w:t>,</w:t>
      </w:r>
      <w:r w:rsidR="0009550F">
        <w:rPr>
          <w:rFonts w:ascii="Times New Roman" w:hAnsi="Times New Roman" w:cs="Times New Roman"/>
          <w:sz w:val="24"/>
          <w:szCs w:val="24"/>
        </w:rPr>
        <w:t>00</w:t>
      </w:r>
      <w:r w:rsidR="001C4272">
        <w:rPr>
          <w:rFonts w:ascii="Times New Roman" w:hAnsi="Times New Roman" w:cs="Times New Roman"/>
          <w:sz w:val="24"/>
          <w:szCs w:val="24"/>
        </w:rPr>
        <w:t xml:space="preserve"> eura, a u razdoblju I.-XII.2025</w:t>
      </w:r>
      <w:r w:rsidRPr="00F427F4">
        <w:rPr>
          <w:rFonts w:ascii="Times New Roman" w:hAnsi="Times New Roman" w:cs="Times New Roman"/>
          <w:sz w:val="24"/>
          <w:szCs w:val="24"/>
        </w:rPr>
        <w:t xml:space="preserve">. ostvario je </w:t>
      </w:r>
      <w:r w:rsidR="0009550F" w:rsidRPr="0009550F">
        <w:rPr>
          <w:rFonts w:ascii="Times New Roman" w:hAnsi="Times New Roman" w:cs="Times New Roman"/>
          <w:sz w:val="24"/>
          <w:szCs w:val="24"/>
        </w:rPr>
        <w:t>10.622.129,41</w:t>
      </w:r>
      <w:r w:rsidR="0009550F">
        <w:rPr>
          <w:rFonts w:ascii="Times New Roman" w:hAnsi="Times New Roman" w:cs="Times New Roman"/>
          <w:sz w:val="24"/>
          <w:szCs w:val="24"/>
        </w:rPr>
        <w:t xml:space="preserve"> eur ili 97,44</w:t>
      </w:r>
      <w:r w:rsidRPr="00F427F4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775D54DD" w14:textId="074F711C" w:rsidR="00D9663A" w:rsidRPr="00D9663A" w:rsidRDefault="00D9663A" w:rsidP="00D9663A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11 – opći prihodi i primici</w:t>
      </w:r>
    </w:p>
    <w:p w14:paraId="1A5E041E" w14:textId="4A71B0BA" w:rsidR="00126202" w:rsidRPr="00F427F4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Tehnički fakultet ostvaruje prihode iz nadležnog proračuna za financiranje redovne djelatnosti na </w:t>
      </w:r>
      <w:r w:rsidRPr="00F427F4">
        <w:rPr>
          <w:rFonts w:ascii="Times New Roman" w:hAnsi="Times New Roman" w:cs="Times New Roman"/>
          <w:b/>
          <w:sz w:val="24"/>
          <w:szCs w:val="24"/>
        </w:rPr>
        <w:t>podskupini 671</w:t>
      </w:r>
      <w:r w:rsidRPr="00F427F4">
        <w:rPr>
          <w:rFonts w:ascii="Times New Roman" w:hAnsi="Times New Roman" w:cs="Times New Roman"/>
          <w:sz w:val="24"/>
          <w:szCs w:val="24"/>
        </w:rPr>
        <w:t xml:space="preserve">, odnosno iz izvora </w:t>
      </w:r>
      <w:r w:rsidRPr="00F427F4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11 - opći prihodi i primici</w:t>
      </w:r>
      <w:r w:rsidRPr="00F427F4">
        <w:rPr>
          <w:rFonts w:ascii="Times New Roman" w:hAnsi="Times New Roman" w:cs="Times New Roman"/>
          <w:i/>
          <w:sz w:val="24"/>
          <w:szCs w:val="24"/>
          <w:highlight w:val="lightGray"/>
        </w:rPr>
        <w:t>.</w:t>
      </w:r>
      <w:r w:rsidRPr="00F427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27F4">
        <w:rPr>
          <w:rFonts w:ascii="Times New Roman" w:hAnsi="Times New Roman" w:cs="Times New Roman"/>
          <w:sz w:val="24"/>
          <w:szCs w:val="24"/>
        </w:rPr>
        <w:t xml:space="preserve">Općim prihodima i primicima </w:t>
      </w:r>
      <w:r w:rsidR="00352967">
        <w:rPr>
          <w:rFonts w:ascii="Times New Roman" w:hAnsi="Times New Roman" w:cs="Times New Roman"/>
          <w:sz w:val="24"/>
          <w:szCs w:val="24"/>
        </w:rPr>
        <w:t>planirano je financiranje u 2025</w:t>
      </w:r>
      <w:r w:rsidRPr="00F427F4">
        <w:rPr>
          <w:rFonts w:ascii="Times New Roman" w:hAnsi="Times New Roman" w:cs="Times New Roman"/>
          <w:sz w:val="24"/>
          <w:szCs w:val="24"/>
        </w:rPr>
        <w:t>. godini za aktivnost redovne djelatnosti fakult</w:t>
      </w:r>
      <w:r w:rsidR="00352967">
        <w:rPr>
          <w:rFonts w:ascii="Times New Roman" w:hAnsi="Times New Roman" w:cs="Times New Roman"/>
          <w:sz w:val="24"/>
          <w:szCs w:val="24"/>
        </w:rPr>
        <w:t>eta (A621002) iznos od 8.138.264</w:t>
      </w:r>
      <w:r w:rsidRPr="00F427F4">
        <w:rPr>
          <w:rFonts w:ascii="Times New Roman" w:hAnsi="Times New Roman" w:cs="Times New Roman"/>
          <w:sz w:val="24"/>
          <w:szCs w:val="24"/>
        </w:rPr>
        <w:t xml:space="preserve">,00 eura, a ostvareno je </w:t>
      </w:r>
      <w:r w:rsidR="00352967">
        <w:rPr>
          <w:rFonts w:ascii="Times New Roman" w:hAnsi="Times New Roman" w:cs="Times New Roman"/>
          <w:sz w:val="24"/>
          <w:szCs w:val="24"/>
        </w:rPr>
        <w:t>8.104.062,37 eura (99,58</w:t>
      </w:r>
      <w:r w:rsidRPr="00F427F4">
        <w:rPr>
          <w:rFonts w:ascii="Times New Roman" w:hAnsi="Times New Roman" w:cs="Times New Roman"/>
          <w:sz w:val="24"/>
          <w:szCs w:val="24"/>
        </w:rPr>
        <w:t xml:space="preserve">%), te programsko financiranje nastavne i znanstvene djelatnosti (A622122) u planiranom iznosu </w:t>
      </w:r>
      <w:r w:rsidR="00BA687C">
        <w:rPr>
          <w:rFonts w:ascii="Times New Roman" w:hAnsi="Times New Roman" w:cs="Times New Roman"/>
          <w:sz w:val="24"/>
          <w:szCs w:val="24"/>
        </w:rPr>
        <w:t xml:space="preserve">545.798,00 </w:t>
      </w:r>
      <w:r w:rsidRPr="00F427F4">
        <w:rPr>
          <w:rFonts w:ascii="Times New Roman" w:hAnsi="Times New Roman" w:cs="Times New Roman"/>
          <w:sz w:val="24"/>
          <w:szCs w:val="24"/>
        </w:rPr>
        <w:t xml:space="preserve">eura, a ostvareno je </w:t>
      </w:r>
      <w:r w:rsidR="00E25F82">
        <w:rPr>
          <w:rFonts w:ascii="Times New Roman" w:hAnsi="Times New Roman" w:cs="Times New Roman"/>
          <w:sz w:val="24"/>
          <w:szCs w:val="24"/>
        </w:rPr>
        <w:lastRenderedPageBreak/>
        <w:t>439.708,85</w:t>
      </w:r>
      <w:r w:rsidR="00BA687C"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="00E25F82">
        <w:rPr>
          <w:rFonts w:ascii="Times New Roman" w:hAnsi="Times New Roman" w:cs="Times New Roman"/>
          <w:sz w:val="24"/>
          <w:szCs w:val="24"/>
        </w:rPr>
        <w:t xml:space="preserve">eura, odnosno </w:t>
      </w:r>
      <w:r w:rsidR="003375A9">
        <w:rPr>
          <w:rFonts w:ascii="Times New Roman" w:hAnsi="Times New Roman" w:cs="Times New Roman"/>
          <w:sz w:val="24"/>
          <w:szCs w:val="24"/>
        </w:rPr>
        <w:t>8</w:t>
      </w:r>
      <w:r w:rsidR="00E25F82">
        <w:rPr>
          <w:rFonts w:ascii="Times New Roman" w:hAnsi="Times New Roman" w:cs="Times New Roman"/>
          <w:sz w:val="24"/>
          <w:szCs w:val="24"/>
        </w:rPr>
        <w:t>0,56</w:t>
      </w:r>
      <w:r w:rsidR="003375A9">
        <w:rPr>
          <w:rFonts w:ascii="Times New Roman" w:hAnsi="Times New Roman" w:cs="Times New Roman"/>
          <w:sz w:val="24"/>
          <w:szCs w:val="24"/>
        </w:rPr>
        <w:t>%</w:t>
      </w:r>
      <w:r w:rsidRPr="00F427F4">
        <w:rPr>
          <w:rFonts w:ascii="Times New Roman" w:hAnsi="Times New Roman" w:cs="Times New Roman"/>
          <w:sz w:val="24"/>
          <w:szCs w:val="24"/>
        </w:rPr>
        <w:t xml:space="preserve">. Prema dobivenim limitima za izvor 11 od Sveučilišta u Rijeci napravljen je i </w:t>
      </w:r>
      <w:r w:rsidR="003375A9">
        <w:rPr>
          <w:rFonts w:ascii="Times New Roman" w:hAnsi="Times New Roman" w:cs="Times New Roman"/>
          <w:sz w:val="24"/>
          <w:szCs w:val="24"/>
        </w:rPr>
        <w:t xml:space="preserve">usvojen od Fakultetskog vijeća </w:t>
      </w:r>
      <w:r w:rsidRPr="00F427F4">
        <w:rPr>
          <w:rFonts w:ascii="Times New Roman" w:hAnsi="Times New Roman" w:cs="Times New Roman"/>
          <w:sz w:val="24"/>
          <w:szCs w:val="24"/>
        </w:rPr>
        <w:t>1</w:t>
      </w:r>
      <w:r w:rsidR="00E25F82">
        <w:rPr>
          <w:rFonts w:ascii="Times New Roman" w:hAnsi="Times New Roman" w:cs="Times New Roman"/>
          <w:sz w:val="24"/>
          <w:szCs w:val="24"/>
        </w:rPr>
        <w:t>9.12.2025</w:t>
      </w:r>
      <w:r w:rsidRPr="00F427F4">
        <w:rPr>
          <w:rFonts w:ascii="Times New Roman" w:hAnsi="Times New Roman" w:cs="Times New Roman"/>
          <w:sz w:val="24"/>
          <w:szCs w:val="24"/>
        </w:rPr>
        <w:t>. rebalans fina</w:t>
      </w:r>
      <w:r w:rsidR="00E25F82">
        <w:rPr>
          <w:rFonts w:ascii="Times New Roman" w:hAnsi="Times New Roman" w:cs="Times New Roman"/>
          <w:sz w:val="24"/>
          <w:szCs w:val="24"/>
        </w:rPr>
        <w:t>ncijskog plana Fakulteta za 2025</w:t>
      </w:r>
      <w:r w:rsidRPr="00F427F4">
        <w:rPr>
          <w:rFonts w:ascii="Times New Roman" w:hAnsi="Times New Roman" w:cs="Times New Roman"/>
          <w:sz w:val="24"/>
          <w:szCs w:val="24"/>
        </w:rPr>
        <w:t>. godinu. Financiranje redovne djelatnosti iz Državnog proračuna RH nije odstupalo od postojećih financijskih planova, dok je kod programskog financiranja javni</w:t>
      </w:r>
      <w:r w:rsidR="00F709A9">
        <w:rPr>
          <w:rFonts w:ascii="Times New Roman" w:hAnsi="Times New Roman" w:cs="Times New Roman"/>
          <w:sz w:val="24"/>
          <w:szCs w:val="24"/>
        </w:rPr>
        <w:t>h visokih učilišta došlo do manje</w:t>
      </w:r>
      <w:r w:rsidR="00E25F82">
        <w:rPr>
          <w:rFonts w:ascii="Times New Roman" w:hAnsi="Times New Roman" w:cs="Times New Roman"/>
          <w:sz w:val="24"/>
          <w:szCs w:val="24"/>
        </w:rPr>
        <w:t xml:space="preserve"> uplate akontacije za</w:t>
      </w:r>
      <w:r w:rsidRPr="00F427F4">
        <w:rPr>
          <w:rFonts w:ascii="Times New Roman" w:hAnsi="Times New Roman" w:cs="Times New Roman"/>
          <w:sz w:val="24"/>
          <w:szCs w:val="24"/>
        </w:rPr>
        <w:t xml:space="preserve"> financiranje materijalnih troškova nasta</w:t>
      </w:r>
      <w:r w:rsidR="000D0B7F">
        <w:rPr>
          <w:rFonts w:ascii="Times New Roman" w:hAnsi="Times New Roman" w:cs="Times New Roman"/>
          <w:sz w:val="24"/>
          <w:szCs w:val="24"/>
        </w:rPr>
        <w:t>vne djelatnosti prema novom P</w:t>
      </w:r>
      <w:r w:rsidR="00E25F82">
        <w:rPr>
          <w:rFonts w:ascii="Times New Roman" w:hAnsi="Times New Roman" w:cs="Times New Roman"/>
          <w:sz w:val="24"/>
          <w:szCs w:val="24"/>
        </w:rPr>
        <w:t>rogramskom ugovoru za ak. god. 2025./2026</w:t>
      </w:r>
      <w:r w:rsidR="00F709A9">
        <w:rPr>
          <w:rFonts w:ascii="Times New Roman" w:hAnsi="Times New Roman" w:cs="Times New Roman"/>
          <w:sz w:val="24"/>
          <w:szCs w:val="24"/>
        </w:rPr>
        <w:t>.</w:t>
      </w:r>
      <w:r w:rsidRPr="00F427F4">
        <w:rPr>
          <w:rFonts w:ascii="Times New Roman" w:hAnsi="Times New Roman" w:cs="Times New Roman"/>
          <w:sz w:val="24"/>
          <w:szCs w:val="24"/>
        </w:rPr>
        <w:t>, nego što je predviđeno limitima Sveučilišta u Rijeci i usvojeno rebalansom financijskog plana za 202</w:t>
      </w:r>
      <w:r w:rsidR="00E25F82">
        <w:rPr>
          <w:rFonts w:ascii="Times New Roman" w:hAnsi="Times New Roman" w:cs="Times New Roman"/>
          <w:sz w:val="24"/>
          <w:szCs w:val="24"/>
        </w:rPr>
        <w:t>5</w:t>
      </w:r>
      <w:r w:rsidRPr="00F427F4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23D0AF4B" w14:textId="732F1472" w:rsidR="00126202" w:rsidRPr="00F427F4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Također, iz istog </w:t>
      </w:r>
      <w:r w:rsidR="00ED3FE8">
        <w:rPr>
          <w:rFonts w:ascii="Times New Roman" w:hAnsi="Times New Roman" w:cs="Times New Roman"/>
          <w:sz w:val="24"/>
          <w:szCs w:val="24"/>
        </w:rPr>
        <w:t xml:space="preserve">izvora </w:t>
      </w:r>
      <w:r w:rsidRPr="00F427F4">
        <w:rPr>
          <w:rFonts w:ascii="Times New Roman" w:hAnsi="Times New Roman" w:cs="Times New Roman"/>
          <w:sz w:val="24"/>
          <w:szCs w:val="24"/>
        </w:rPr>
        <w:t xml:space="preserve">planirani </w:t>
      </w:r>
      <w:r w:rsidR="00ED3FE8">
        <w:rPr>
          <w:rFonts w:ascii="Times New Roman" w:hAnsi="Times New Roman" w:cs="Times New Roman"/>
          <w:sz w:val="24"/>
          <w:szCs w:val="24"/>
        </w:rPr>
        <w:t xml:space="preserve">su </w:t>
      </w:r>
      <w:r w:rsidRPr="00F427F4">
        <w:rPr>
          <w:rFonts w:ascii="Times New Roman" w:hAnsi="Times New Roman" w:cs="Times New Roman"/>
          <w:sz w:val="24"/>
          <w:szCs w:val="24"/>
        </w:rPr>
        <w:t xml:space="preserve">prihodi za stipendije i školarine za doktorski studij (A621183) u iznosu </w:t>
      </w:r>
      <w:r w:rsidR="00ED3FE8">
        <w:rPr>
          <w:rFonts w:ascii="Times New Roman" w:hAnsi="Times New Roman" w:cs="Times New Roman"/>
          <w:sz w:val="24"/>
          <w:szCs w:val="24"/>
        </w:rPr>
        <w:t>2.156</w:t>
      </w:r>
      <w:r w:rsidR="00F709A9">
        <w:rPr>
          <w:rFonts w:ascii="Times New Roman" w:hAnsi="Times New Roman" w:cs="Times New Roman"/>
          <w:sz w:val="24"/>
          <w:szCs w:val="24"/>
        </w:rPr>
        <w:t>,</w:t>
      </w:r>
      <w:r w:rsidR="00ED3FE8">
        <w:rPr>
          <w:rFonts w:ascii="Times New Roman" w:hAnsi="Times New Roman" w:cs="Times New Roman"/>
          <w:sz w:val="24"/>
          <w:szCs w:val="24"/>
        </w:rPr>
        <w:t>00</w:t>
      </w:r>
      <w:r w:rsidRPr="00F427F4">
        <w:rPr>
          <w:rFonts w:ascii="Times New Roman" w:hAnsi="Times New Roman" w:cs="Times New Roman"/>
          <w:sz w:val="24"/>
          <w:szCs w:val="24"/>
        </w:rPr>
        <w:t xml:space="preserve"> eu</w:t>
      </w:r>
      <w:r w:rsidR="00F709A9">
        <w:rPr>
          <w:rFonts w:ascii="Times New Roman" w:hAnsi="Times New Roman" w:cs="Times New Roman"/>
          <w:sz w:val="24"/>
          <w:szCs w:val="24"/>
        </w:rPr>
        <w:t xml:space="preserve">r, a ostvareni u </w:t>
      </w:r>
      <w:r w:rsidR="00ED3FE8">
        <w:rPr>
          <w:rFonts w:ascii="Times New Roman" w:hAnsi="Times New Roman" w:cs="Times New Roman"/>
          <w:sz w:val="24"/>
          <w:szCs w:val="24"/>
        </w:rPr>
        <w:t>iznosu od 2.156,34</w:t>
      </w:r>
      <w:r w:rsidRPr="00F427F4">
        <w:rPr>
          <w:rFonts w:ascii="Times New Roman" w:hAnsi="Times New Roman" w:cs="Times New Roman"/>
          <w:sz w:val="24"/>
          <w:szCs w:val="24"/>
        </w:rPr>
        <w:t xml:space="preserve"> eur.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233"/>
        <w:gridCol w:w="2355"/>
        <w:gridCol w:w="1765"/>
        <w:gridCol w:w="1746"/>
        <w:gridCol w:w="1018"/>
      </w:tblGrid>
      <w:tr w:rsidR="003375A9" w:rsidRPr="00F427F4" w14:paraId="5865FD52" w14:textId="77777777" w:rsidTr="003375A9">
        <w:tc>
          <w:tcPr>
            <w:tcW w:w="1376" w:type="dxa"/>
            <w:shd w:val="clear" w:color="auto" w:fill="auto"/>
          </w:tcPr>
          <w:p w14:paraId="35614D33" w14:textId="77777777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1233" w:type="dxa"/>
          </w:tcPr>
          <w:p w14:paraId="70DB5B1E" w14:textId="77777777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355" w:type="dxa"/>
            <w:shd w:val="clear" w:color="auto" w:fill="auto"/>
          </w:tcPr>
          <w:p w14:paraId="2A438A95" w14:textId="77777777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1765" w:type="dxa"/>
          </w:tcPr>
          <w:p w14:paraId="7C283331" w14:textId="7222A29B" w:rsidR="00F427F4" w:rsidRPr="00F427F4" w:rsidRDefault="00F427F4" w:rsidP="00E25F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Rebalans 202</w:t>
            </w:r>
            <w:r w:rsidR="00E25F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746" w:type="dxa"/>
            <w:shd w:val="clear" w:color="auto" w:fill="auto"/>
          </w:tcPr>
          <w:p w14:paraId="2D40E06E" w14:textId="013F47DB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25F82">
              <w:rPr>
                <w:rFonts w:ascii="Times New Roman" w:hAnsi="Times New Roman" w:cs="Times New Roman"/>
                <w:sz w:val="24"/>
                <w:szCs w:val="24"/>
              </w:rPr>
              <w:t>zvršenje 2025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  <w:tc>
          <w:tcPr>
            <w:tcW w:w="1018" w:type="dxa"/>
            <w:shd w:val="clear" w:color="auto" w:fill="auto"/>
          </w:tcPr>
          <w:p w14:paraId="2CEE98BB" w14:textId="4CC0044F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</w:tr>
      <w:tr w:rsidR="003375A9" w:rsidRPr="00F427F4" w14:paraId="3408C8CB" w14:textId="77777777" w:rsidTr="003375A9">
        <w:tc>
          <w:tcPr>
            <w:tcW w:w="1376" w:type="dxa"/>
            <w:shd w:val="clear" w:color="auto" w:fill="auto"/>
          </w:tcPr>
          <w:p w14:paraId="5BB42641" w14:textId="77777777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33" w:type="dxa"/>
          </w:tcPr>
          <w:p w14:paraId="292C61EF" w14:textId="77777777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b/>
                <w:sz w:val="24"/>
                <w:szCs w:val="24"/>
              </w:rPr>
              <w:t>A 621002</w:t>
            </w:r>
          </w:p>
        </w:tc>
        <w:tc>
          <w:tcPr>
            <w:tcW w:w="2355" w:type="dxa"/>
            <w:shd w:val="clear" w:color="auto" w:fill="auto"/>
          </w:tcPr>
          <w:p w14:paraId="26B5CAE5" w14:textId="77777777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Red. djelatnost SuRi</w:t>
            </w:r>
          </w:p>
        </w:tc>
        <w:tc>
          <w:tcPr>
            <w:tcW w:w="1765" w:type="dxa"/>
          </w:tcPr>
          <w:p w14:paraId="27356818" w14:textId="78E76C39" w:rsidR="00F427F4" w:rsidRPr="00F427F4" w:rsidRDefault="00E25F82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8.138.264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14:paraId="46E71D56" w14:textId="1FA0CC8D" w:rsidR="00F427F4" w:rsidRPr="00F427F4" w:rsidRDefault="00E25F82" w:rsidP="00F427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8.104.062,37</w:t>
            </w:r>
          </w:p>
        </w:tc>
        <w:tc>
          <w:tcPr>
            <w:tcW w:w="1018" w:type="dxa"/>
            <w:shd w:val="clear" w:color="auto" w:fill="auto"/>
          </w:tcPr>
          <w:p w14:paraId="2B5D440F" w14:textId="528E1F84" w:rsidR="00F427F4" w:rsidRPr="00F427F4" w:rsidRDefault="00E25F82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99,58</w:t>
            </w:r>
          </w:p>
        </w:tc>
      </w:tr>
      <w:tr w:rsidR="003375A9" w:rsidRPr="00F427F4" w14:paraId="3D565317" w14:textId="77777777" w:rsidTr="003375A9">
        <w:tc>
          <w:tcPr>
            <w:tcW w:w="1376" w:type="dxa"/>
            <w:shd w:val="clear" w:color="auto" w:fill="auto"/>
          </w:tcPr>
          <w:p w14:paraId="500BE950" w14:textId="77777777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33" w:type="dxa"/>
          </w:tcPr>
          <w:p w14:paraId="74028C88" w14:textId="77777777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b/>
                <w:sz w:val="24"/>
                <w:szCs w:val="24"/>
              </w:rPr>
              <w:t>A 622122</w:t>
            </w:r>
          </w:p>
        </w:tc>
        <w:tc>
          <w:tcPr>
            <w:tcW w:w="2355" w:type="dxa"/>
            <w:shd w:val="clear" w:color="auto" w:fill="auto"/>
          </w:tcPr>
          <w:p w14:paraId="20D641E2" w14:textId="77777777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Progr. financ. jav.VU</w:t>
            </w:r>
          </w:p>
        </w:tc>
        <w:tc>
          <w:tcPr>
            <w:tcW w:w="1765" w:type="dxa"/>
          </w:tcPr>
          <w:p w14:paraId="56AA33F9" w14:textId="42A10DBE" w:rsidR="00F427F4" w:rsidRPr="00F427F4" w:rsidRDefault="00E25F82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545.798,00</w:t>
            </w:r>
          </w:p>
        </w:tc>
        <w:tc>
          <w:tcPr>
            <w:tcW w:w="1746" w:type="dxa"/>
            <w:shd w:val="clear" w:color="auto" w:fill="auto"/>
          </w:tcPr>
          <w:p w14:paraId="5A98AC20" w14:textId="1C0B2F62" w:rsidR="00F427F4" w:rsidRPr="00F427F4" w:rsidRDefault="00E25F82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439.708,85</w:t>
            </w:r>
          </w:p>
        </w:tc>
        <w:tc>
          <w:tcPr>
            <w:tcW w:w="1018" w:type="dxa"/>
            <w:shd w:val="clear" w:color="auto" w:fill="auto"/>
          </w:tcPr>
          <w:p w14:paraId="2E102B35" w14:textId="47442D00" w:rsidR="009D41AC" w:rsidRPr="00F427F4" w:rsidRDefault="00E25F82" w:rsidP="009D41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80,56</w:t>
            </w:r>
          </w:p>
        </w:tc>
      </w:tr>
      <w:tr w:rsidR="003375A9" w:rsidRPr="00F427F4" w14:paraId="6CF7EA21" w14:textId="77777777" w:rsidTr="003375A9">
        <w:tc>
          <w:tcPr>
            <w:tcW w:w="1376" w:type="dxa"/>
            <w:shd w:val="clear" w:color="auto" w:fill="auto"/>
          </w:tcPr>
          <w:p w14:paraId="33BE7418" w14:textId="1186A017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33" w:type="dxa"/>
          </w:tcPr>
          <w:p w14:paraId="2C789549" w14:textId="16E0DAF1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b/>
                <w:sz w:val="24"/>
                <w:szCs w:val="24"/>
              </w:rPr>
              <w:t>A 621183</w:t>
            </w:r>
          </w:p>
        </w:tc>
        <w:tc>
          <w:tcPr>
            <w:tcW w:w="2355" w:type="dxa"/>
            <w:shd w:val="clear" w:color="auto" w:fill="auto"/>
          </w:tcPr>
          <w:p w14:paraId="2903DFD2" w14:textId="073CC281" w:rsidR="00F427F4" w:rsidRPr="00F427F4" w:rsidRDefault="00F427F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Stipendije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škol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dokt. studij</w:t>
            </w:r>
          </w:p>
        </w:tc>
        <w:tc>
          <w:tcPr>
            <w:tcW w:w="1765" w:type="dxa"/>
          </w:tcPr>
          <w:p w14:paraId="14AE4E03" w14:textId="04F61FE2" w:rsidR="00F427F4" w:rsidRPr="00F427F4" w:rsidRDefault="00ED3FE8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2.156,00</w:t>
            </w:r>
          </w:p>
        </w:tc>
        <w:tc>
          <w:tcPr>
            <w:tcW w:w="1746" w:type="dxa"/>
            <w:shd w:val="clear" w:color="auto" w:fill="auto"/>
          </w:tcPr>
          <w:p w14:paraId="7DF390F1" w14:textId="772AEE46" w:rsidR="00F427F4" w:rsidRPr="00F427F4" w:rsidRDefault="00ED3FE8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2.156,34</w:t>
            </w:r>
          </w:p>
        </w:tc>
        <w:tc>
          <w:tcPr>
            <w:tcW w:w="1018" w:type="dxa"/>
            <w:shd w:val="clear" w:color="auto" w:fill="auto"/>
          </w:tcPr>
          <w:p w14:paraId="040C752D" w14:textId="1D027CD3" w:rsidR="00F427F4" w:rsidRPr="00F427F4" w:rsidRDefault="00ED3FE8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100,02</w:t>
            </w:r>
          </w:p>
        </w:tc>
      </w:tr>
      <w:tr w:rsidR="00F709A9" w:rsidRPr="00F427F4" w14:paraId="7025C12F" w14:textId="77777777" w:rsidTr="003375A9">
        <w:tc>
          <w:tcPr>
            <w:tcW w:w="1376" w:type="dxa"/>
            <w:shd w:val="clear" w:color="auto" w:fill="auto"/>
          </w:tcPr>
          <w:p w14:paraId="527DE4A4" w14:textId="77C20421" w:rsidR="00F709A9" w:rsidRDefault="00F709A9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42B94ED4" w14:textId="77777777" w:rsidR="00F709A9" w:rsidRDefault="00F709A9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14:paraId="5A120064" w14:textId="7D4E730C" w:rsidR="00F709A9" w:rsidRPr="00DD2A42" w:rsidRDefault="00F709A9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A42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765" w:type="dxa"/>
          </w:tcPr>
          <w:p w14:paraId="7FA5F350" w14:textId="0F96CE93" w:rsidR="00F709A9" w:rsidRPr="00DD2A42" w:rsidRDefault="00ED3FE8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8.686,218</w:t>
            </w:r>
            <w:r w:rsidR="00F709A9" w:rsidRPr="00DD2A4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14:paraId="1C742EFD" w14:textId="5F89EC39" w:rsidR="00F709A9" w:rsidRPr="00DD2A42" w:rsidRDefault="00ED3FE8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8.545.927,56</w:t>
            </w:r>
          </w:p>
        </w:tc>
        <w:tc>
          <w:tcPr>
            <w:tcW w:w="1018" w:type="dxa"/>
            <w:shd w:val="clear" w:color="auto" w:fill="auto"/>
          </w:tcPr>
          <w:p w14:paraId="303B5B2E" w14:textId="1A27743E" w:rsidR="00F709A9" w:rsidRPr="000D0B7F" w:rsidRDefault="00ED3FE8" w:rsidP="00ED3F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7F">
              <w:rPr>
                <w:rFonts w:ascii="Times New Roman" w:hAnsi="Times New Roman" w:cs="Times New Roman"/>
                <w:b/>
                <w:sz w:val="24"/>
                <w:szCs w:val="24"/>
              </w:rPr>
              <w:t>98,39</w:t>
            </w:r>
          </w:p>
        </w:tc>
      </w:tr>
    </w:tbl>
    <w:p w14:paraId="54133C27" w14:textId="6EA73A28" w:rsidR="00F709A9" w:rsidRDefault="00F709A9" w:rsidP="001262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56EBA1" w14:textId="038AD9EA" w:rsidR="00ED3FE8" w:rsidRDefault="00ED3FE8" w:rsidP="00ED3FE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427F4">
        <w:rPr>
          <w:rFonts w:ascii="Times New Roman" w:hAnsi="Times New Roman" w:cs="Times New Roman"/>
          <w:b/>
          <w:sz w:val="24"/>
          <w:szCs w:val="24"/>
        </w:rPr>
        <w:t>.</w:t>
      </w:r>
      <w:r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Pr="00D9663A">
        <w:rPr>
          <w:rFonts w:ascii="Times New Roman" w:hAnsi="Times New Roman" w:cs="Times New Roman"/>
          <w:b/>
          <w:sz w:val="24"/>
          <w:szCs w:val="24"/>
        </w:rPr>
        <w:t xml:space="preserve">Izvor </w:t>
      </w:r>
      <w:r>
        <w:rPr>
          <w:rFonts w:ascii="Times New Roman" w:hAnsi="Times New Roman" w:cs="Times New Roman"/>
          <w:b/>
          <w:sz w:val="24"/>
          <w:szCs w:val="24"/>
        </w:rPr>
        <w:t>58</w:t>
      </w:r>
      <w:r w:rsidRPr="00D9663A">
        <w:rPr>
          <w:rFonts w:ascii="Times New Roman" w:hAnsi="Times New Roman" w:cs="Times New Roman"/>
          <w:b/>
          <w:sz w:val="24"/>
          <w:szCs w:val="24"/>
        </w:rPr>
        <w:t>1 –</w:t>
      </w:r>
      <w:r>
        <w:rPr>
          <w:rFonts w:ascii="Times New Roman" w:hAnsi="Times New Roman" w:cs="Times New Roman"/>
          <w:b/>
          <w:sz w:val="24"/>
          <w:szCs w:val="24"/>
        </w:rPr>
        <w:t xml:space="preserve"> mehanizam za oporavak i otpornost</w:t>
      </w:r>
    </w:p>
    <w:p w14:paraId="719A2EEA" w14:textId="6C3EF5ED" w:rsidR="00ED3FE8" w:rsidRDefault="00ED3FE8" w:rsidP="00ED3F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iste aktivnosti (A622122) programsko financiranje </w:t>
      </w:r>
      <w:r w:rsidRPr="00F427F4">
        <w:rPr>
          <w:rFonts w:ascii="Times New Roman" w:hAnsi="Times New Roman" w:cs="Times New Roman"/>
          <w:sz w:val="24"/>
          <w:szCs w:val="24"/>
        </w:rPr>
        <w:t>nastavne i znanstvene djelatnosti</w:t>
      </w:r>
      <w:r>
        <w:rPr>
          <w:rFonts w:ascii="Times New Roman" w:hAnsi="Times New Roman" w:cs="Times New Roman"/>
          <w:sz w:val="24"/>
          <w:szCs w:val="24"/>
        </w:rPr>
        <w:t xml:space="preserve"> planiraju se i sredstva za institucijske istraživačke projekte koji su dio novog Programskog ugovora, a financiraju se iz NPOO-a u iznosu</w:t>
      </w:r>
      <w:r w:rsidR="000D0B7F">
        <w:rPr>
          <w:rFonts w:ascii="Times New Roman" w:hAnsi="Times New Roman" w:cs="Times New Roman"/>
          <w:sz w:val="24"/>
          <w:szCs w:val="24"/>
        </w:rPr>
        <w:t xml:space="preserve"> 168.445,00 eura.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0B7F">
        <w:rPr>
          <w:rFonts w:ascii="Times New Roman" w:hAnsi="Times New Roman" w:cs="Times New Roman"/>
          <w:sz w:val="24"/>
          <w:szCs w:val="24"/>
        </w:rPr>
        <w:t xml:space="preserve">Nadalje, prema Uputi MZOM, fakultet je dužan na </w:t>
      </w:r>
      <w:r w:rsidR="000D0B7F" w:rsidRPr="000D0B7F">
        <w:rPr>
          <w:rFonts w:ascii="Times New Roman" w:hAnsi="Times New Roman" w:cs="Times New Roman"/>
          <w:b/>
          <w:sz w:val="24"/>
          <w:szCs w:val="24"/>
        </w:rPr>
        <w:t>podskupini 671</w:t>
      </w:r>
      <w:r w:rsidR="000D0B7F">
        <w:rPr>
          <w:rFonts w:ascii="Times New Roman" w:hAnsi="Times New Roman" w:cs="Times New Roman"/>
          <w:sz w:val="24"/>
          <w:szCs w:val="24"/>
        </w:rPr>
        <w:t xml:space="preserve"> </w:t>
      </w:r>
      <w:r w:rsidR="00DC4C72">
        <w:rPr>
          <w:rFonts w:ascii="Times New Roman" w:hAnsi="Times New Roman" w:cs="Times New Roman"/>
          <w:sz w:val="24"/>
          <w:szCs w:val="24"/>
        </w:rPr>
        <w:t>planirati</w:t>
      </w:r>
      <w:r w:rsidR="000D0B7F">
        <w:rPr>
          <w:rFonts w:ascii="Times New Roman" w:hAnsi="Times New Roman" w:cs="Times New Roman"/>
          <w:sz w:val="24"/>
          <w:szCs w:val="24"/>
        </w:rPr>
        <w:t xml:space="preserve"> i evidentirati prihode iz nadležnog proračuna za sredstva EU pomoći koja se uplaćuju na račun državnog proračuna, </w:t>
      </w:r>
      <w:r w:rsidRPr="00F427F4">
        <w:rPr>
          <w:rFonts w:ascii="Times New Roman" w:hAnsi="Times New Roman" w:cs="Times New Roman"/>
          <w:sz w:val="24"/>
          <w:szCs w:val="24"/>
        </w:rPr>
        <w:t xml:space="preserve">iz izvora </w:t>
      </w:r>
      <w:r w:rsidRPr="00600BC8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581 – mehanizam za oporavak i otpornost</w:t>
      </w:r>
      <w:r>
        <w:rPr>
          <w:rFonts w:ascii="Times New Roman" w:hAnsi="Times New Roman" w:cs="Times New Roman"/>
          <w:sz w:val="24"/>
          <w:szCs w:val="24"/>
        </w:rPr>
        <w:t xml:space="preserve">, K679128-Poboljšanje učinkovitosti javnih ulaganja NPOO, </w:t>
      </w:r>
      <w:r w:rsidR="00DC4C72">
        <w:rPr>
          <w:rFonts w:ascii="Times New Roman" w:hAnsi="Times New Roman" w:cs="Times New Roman"/>
          <w:sz w:val="24"/>
          <w:szCs w:val="24"/>
        </w:rPr>
        <w:t>u iznosu</w:t>
      </w:r>
      <w:r w:rsidR="00705D44">
        <w:rPr>
          <w:rFonts w:ascii="Times New Roman" w:hAnsi="Times New Roman" w:cs="Times New Roman"/>
          <w:sz w:val="24"/>
          <w:szCs w:val="24"/>
        </w:rPr>
        <w:t xml:space="preserve"> plana</w:t>
      </w:r>
      <w:r w:rsidR="00DC4C72">
        <w:rPr>
          <w:rFonts w:ascii="Times New Roman" w:hAnsi="Times New Roman" w:cs="Times New Roman"/>
          <w:sz w:val="24"/>
          <w:szCs w:val="24"/>
        </w:rPr>
        <w:t xml:space="preserve"> 73.500,00 eur</w:t>
      </w:r>
      <w:r w:rsidR="00705D44">
        <w:rPr>
          <w:rFonts w:ascii="Times New Roman" w:hAnsi="Times New Roman" w:cs="Times New Roman"/>
          <w:sz w:val="24"/>
          <w:szCs w:val="24"/>
        </w:rPr>
        <w:t>, ostvarenje 107.016,29 eur</w:t>
      </w:r>
      <w:r w:rsidR="00DC4C7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1299"/>
        <w:gridCol w:w="2296"/>
        <w:gridCol w:w="1747"/>
        <w:gridCol w:w="1497"/>
        <w:gridCol w:w="1421"/>
      </w:tblGrid>
      <w:tr w:rsidR="00ED3FE8" w14:paraId="7D1ABB39" w14:textId="77777777" w:rsidTr="00DC4C72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C663" w14:textId="77777777" w:rsidR="00ED3FE8" w:rsidRDefault="00ED3FE8" w:rsidP="00773B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95B5" w14:textId="77777777" w:rsidR="00ED3FE8" w:rsidRDefault="00ED3FE8" w:rsidP="00773B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4779" w14:textId="43A7500F" w:rsidR="00ED3FE8" w:rsidRDefault="000D0B7F" w:rsidP="00773B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DD94" w14:textId="77777777" w:rsidR="00ED3FE8" w:rsidRDefault="00ED3FE8" w:rsidP="00773B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EU projekta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2A77" w14:textId="4BCF31E6" w:rsidR="00ED3FE8" w:rsidRDefault="000D0B7F" w:rsidP="00773B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  <w:r w:rsidR="00ED3FE8"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FDCF" w14:textId="4B0A32CE" w:rsidR="00ED3FE8" w:rsidRDefault="000D0B7F" w:rsidP="00773B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  <w:r w:rsidR="00ED3FE8"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</w:tr>
      <w:tr w:rsidR="000D0B7F" w14:paraId="71B1EC8A" w14:textId="77777777" w:rsidTr="00DC4C72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EBF" w14:textId="4DE42C05" w:rsid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581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BA81" w14:textId="2BC8AA8C" w:rsid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b/>
                <w:sz w:val="24"/>
                <w:szCs w:val="24"/>
              </w:rPr>
              <w:t>A 622122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6AA" w14:textId="4C43852A" w:rsid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Progr. financ. jav.VU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39E" w14:textId="672A790B" w:rsid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UniRi instituc. istraž. projekti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C000" w14:textId="69D8AD3C" w:rsidR="000D0B7F" w:rsidRPr="00F427F4" w:rsidRDefault="000D0B7F" w:rsidP="000D0B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168.445,00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A468" w14:textId="6E039CE7" w:rsidR="000D0B7F" w:rsidRPr="00F427F4" w:rsidRDefault="00DC4C72" w:rsidP="000D0B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168.445,40</w:t>
            </w:r>
          </w:p>
        </w:tc>
      </w:tr>
      <w:tr w:rsidR="000D0B7F" w14:paraId="24CB78C8" w14:textId="77777777" w:rsidTr="00DC4C72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6F6C" w14:textId="77777777" w:rsid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581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4380" w14:textId="77777777" w:rsid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 679128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40FE" w14:textId="4A86E638" w:rsid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</w:t>
            </w:r>
            <w:r w:rsidR="00DC4C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obolj.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učinkov. jav. u</w:t>
            </w:r>
            <w:r w:rsidR="00DC4C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lag.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4C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 podr. istraž., razv.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i inov.- NPOO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32A9" w14:textId="77777777" w:rsid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Višejezgreni digitalni sustavi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1D78" w14:textId="733E7241" w:rsid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73.500,00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2E2E" w14:textId="2D34387A" w:rsidR="000D0B7F" w:rsidRDefault="00DC4C72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107.016,29</w:t>
            </w:r>
          </w:p>
        </w:tc>
      </w:tr>
      <w:tr w:rsidR="000D0B7F" w14:paraId="007B7632" w14:textId="77777777" w:rsidTr="00DC4C72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9925" w14:textId="77777777" w:rsid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E108" w14:textId="77777777" w:rsidR="000D0B7F" w:rsidRDefault="000D0B7F" w:rsidP="000D0B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969" w14:textId="2098C3EA" w:rsid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D2A42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D241" w14:textId="77777777" w:rsid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CAAD" w14:textId="05D700E0" w:rsidR="000D0B7F" w:rsidRP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D0B7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241.945,00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1822" w14:textId="31F6EEC7" w:rsidR="000D0B7F" w:rsidRPr="000D0B7F" w:rsidRDefault="000D0B7F" w:rsidP="000D0B7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D0B7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275.461,69</w:t>
            </w:r>
          </w:p>
        </w:tc>
      </w:tr>
    </w:tbl>
    <w:p w14:paraId="2C82D714" w14:textId="2BE9A31B" w:rsidR="00D9663A" w:rsidRPr="00D9663A" w:rsidRDefault="00ED3FE8" w:rsidP="00D9663A">
      <w:pPr>
        <w:spacing w:line="276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126202" w:rsidRPr="00D9663A">
        <w:rPr>
          <w:rFonts w:ascii="Times New Roman" w:hAnsi="Times New Roman" w:cs="Times New Roman"/>
          <w:b/>
          <w:sz w:val="24"/>
          <w:szCs w:val="24"/>
        </w:rPr>
        <w:t>.</w:t>
      </w:r>
      <w:r w:rsidR="00F709A9" w:rsidRPr="00D9663A">
        <w:rPr>
          <w:rFonts w:ascii="Times New Roman" w:hAnsi="Times New Roman" w:cs="Times New Roman"/>
          <w:sz w:val="24"/>
          <w:szCs w:val="24"/>
        </w:rPr>
        <w:t xml:space="preserve"> </w:t>
      </w:r>
      <w:r w:rsidR="00D9663A" w:rsidRPr="00D9663A">
        <w:rPr>
          <w:rFonts w:ascii="Times New Roman" w:hAnsi="Times New Roman" w:cs="Times New Roman"/>
          <w:b/>
          <w:sz w:val="24"/>
          <w:szCs w:val="24"/>
        </w:rPr>
        <w:t xml:space="preserve">Izvor </w:t>
      </w:r>
      <w:r w:rsidR="00D9663A">
        <w:rPr>
          <w:rFonts w:ascii="Times New Roman" w:hAnsi="Times New Roman" w:cs="Times New Roman"/>
          <w:b/>
          <w:sz w:val="24"/>
          <w:szCs w:val="24"/>
        </w:rPr>
        <w:t>3</w:t>
      </w:r>
      <w:r w:rsidR="00D9663A" w:rsidRPr="00D9663A">
        <w:rPr>
          <w:rFonts w:ascii="Times New Roman" w:hAnsi="Times New Roman" w:cs="Times New Roman"/>
          <w:b/>
          <w:sz w:val="24"/>
          <w:szCs w:val="24"/>
        </w:rPr>
        <w:t>1 –</w:t>
      </w:r>
      <w:r w:rsidR="00D9663A">
        <w:rPr>
          <w:rFonts w:ascii="Times New Roman" w:hAnsi="Times New Roman" w:cs="Times New Roman"/>
          <w:b/>
          <w:sz w:val="24"/>
          <w:szCs w:val="24"/>
        </w:rPr>
        <w:t xml:space="preserve"> vlastiti</w:t>
      </w:r>
      <w:r w:rsidR="00D9663A" w:rsidRPr="00D9663A">
        <w:rPr>
          <w:rFonts w:ascii="Times New Roman" w:hAnsi="Times New Roman" w:cs="Times New Roman"/>
          <w:b/>
          <w:sz w:val="24"/>
          <w:szCs w:val="24"/>
        </w:rPr>
        <w:t xml:space="preserve"> prihodi </w:t>
      </w:r>
    </w:p>
    <w:p w14:paraId="17E19329" w14:textId="6BCA2B20" w:rsidR="00126202" w:rsidRDefault="00705D44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Fakultet je planirao u 2025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. godini ostvariti prihode od pruženih usluga primjerice kroz stručne projekte za gospodarstvo na </w:t>
      </w:r>
      <w:r w:rsidR="00126202" w:rsidRPr="00F427F4">
        <w:rPr>
          <w:rFonts w:ascii="Times New Roman" w:hAnsi="Times New Roman" w:cs="Times New Roman"/>
          <w:b/>
          <w:sz w:val="24"/>
          <w:szCs w:val="24"/>
        </w:rPr>
        <w:t>podskupini 661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u iznosu </w:t>
      </w:r>
      <w:r>
        <w:rPr>
          <w:rFonts w:ascii="Times New Roman" w:hAnsi="Times New Roman" w:cs="Times New Roman"/>
          <w:sz w:val="24"/>
          <w:szCs w:val="24"/>
        </w:rPr>
        <w:t>210</w:t>
      </w:r>
      <w:r w:rsidR="00F709A9">
        <w:rPr>
          <w:rFonts w:ascii="Times New Roman" w:hAnsi="Times New Roman" w:cs="Times New Roman"/>
          <w:sz w:val="24"/>
          <w:szCs w:val="24"/>
        </w:rPr>
        <w:t>.000,00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eura i prihode od financijske imovine na </w:t>
      </w:r>
      <w:r w:rsidR="00126202" w:rsidRPr="00F427F4">
        <w:rPr>
          <w:rFonts w:ascii="Times New Roman" w:hAnsi="Times New Roman" w:cs="Times New Roman"/>
          <w:b/>
          <w:sz w:val="24"/>
          <w:szCs w:val="24"/>
        </w:rPr>
        <w:t xml:space="preserve">podskupini 641 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u iznosu </w:t>
      </w:r>
      <w:r>
        <w:rPr>
          <w:rFonts w:ascii="Times New Roman" w:hAnsi="Times New Roman" w:cs="Times New Roman"/>
          <w:sz w:val="24"/>
          <w:szCs w:val="24"/>
        </w:rPr>
        <w:t>37.403</w:t>
      </w:r>
      <w:r w:rsidR="00F709A9">
        <w:rPr>
          <w:rFonts w:ascii="Times New Roman" w:hAnsi="Times New Roman" w:cs="Times New Roman"/>
          <w:sz w:val="24"/>
          <w:szCs w:val="24"/>
        </w:rPr>
        <w:t>,00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eura, a pripadaju izvoru </w:t>
      </w:r>
      <w:r w:rsidR="00126202" w:rsidRPr="00F427F4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31 - vlastiti prihodi</w:t>
      </w:r>
      <w:r>
        <w:rPr>
          <w:rFonts w:ascii="Times New Roman" w:hAnsi="Times New Roman" w:cs="Times New Roman"/>
          <w:sz w:val="24"/>
          <w:szCs w:val="24"/>
        </w:rPr>
        <w:t>. U razdoblju I.-XII.2025. fakultet je ostvario 73</w:t>
      </w:r>
      <w:r w:rsidR="00126202" w:rsidRPr="00F427F4">
        <w:rPr>
          <w:rFonts w:ascii="Times New Roman" w:hAnsi="Times New Roman" w:cs="Times New Roman"/>
          <w:sz w:val="24"/>
          <w:szCs w:val="24"/>
        </w:rPr>
        <w:t>% planir</w:t>
      </w:r>
      <w:r>
        <w:rPr>
          <w:rFonts w:ascii="Times New Roman" w:hAnsi="Times New Roman" w:cs="Times New Roman"/>
          <w:sz w:val="24"/>
          <w:szCs w:val="24"/>
        </w:rPr>
        <w:t>anih vlastitih prihoda</w:t>
      </w:r>
      <w:r w:rsidR="00126202" w:rsidRPr="00F427F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233"/>
        <w:gridCol w:w="2355"/>
        <w:gridCol w:w="1765"/>
        <w:gridCol w:w="1746"/>
        <w:gridCol w:w="1018"/>
      </w:tblGrid>
      <w:tr w:rsidR="00DD2A42" w:rsidRPr="00F427F4" w14:paraId="67BEDA10" w14:textId="77777777" w:rsidTr="00D9663A">
        <w:tc>
          <w:tcPr>
            <w:tcW w:w="1376" w:type="dxa"/>
            <w:shd w:val="clear" w:color="auto" w:fill="auto"/>
          </w:tcPr>
          <w:p w14:paraId="4C7846CD" w14:textId="77777777" w:rsidR="00DD2A42" w:rsidRPr="00F427F4" w:rsidRDefault="00DD2A42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1233" w:type="dxa"/>
          </w:tcPr>
          <w:p w14:paraId="3D410628" w14:textId="77777777" w:rsidR="00DD2A42" w:rsidRPr="00F427F4" w:rsidRDefault="00DD2A42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355" w:type="dxa"/>
            <w:shd w:val="clear" w:color="auto" w:fill="auto"/>
          </w:tcPr>
          <w:p w14:paraId="029604A7" w14:textId="77777777" w:rsidR="00DD2A42" w:rsidRPr="00F427F4" w:rsidRDefault="00DD2A42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1765" w:type="dxa"/>
          </w:tcPr>
          <w:p w14:paraId="503D1F28" w14:textId="1ED2F607" w:rsidR="00DD2A42" w:rsidRPr="00F427F4" w:rsidRDefault="00705D4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  <w:r w:rsidR="00DD2A42"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746" w:type="dxa"/>
            <w:shd w:val="clear" w:color="auto" w:fill="auto"/>
          </w:tcPr>
          <w:p w14:paraId="53E12CFB" w14:textId="36D6859F" w:rsidR="00DD2A42" w:rsidRPr="00F427F4" w:rsidRDefault="00705D4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  <w:r w:rsidR="00DD2A42"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  <w:tc>
          <w:tcPr>
            <w:tcW w:w="1018" w:type="dxa"/>
            <w:shd w:val="clear" w:color="auto" w:fill="auto"/>
          </w:tcPr>
          <w:p w14:paraId="008775CD" w14:textId="77777777" w:rsidR="00DD2A42" w:rsidRPr="00F427F4" w:rsidRDefault="00DD2A42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</w:tr>
      <w:tr w:rsidR="00DD2A42" w:rsidRPr="00F427F4" w14:paraId="0DE85E68" w14:textId="77777777" w:rsidTr="00D9663A">
        <w:tc>
          <w:tcPr>
            <w:tcW w:w="1376" w:type="dxa"/>
            <w:shd w:val="clear" w:color="auto" w:fill="auto"/>
          </w:tcPr>
          <w:p w14:paraId="1FC0988B" w14:textId="34B67F67" w:rsidR="00DD2A42" w:rsidRPr="00F427F4" w:rsidRDefault="00DD2A42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427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14:paraId="3AA8CDAF" w14:textId="70D40963" w:rsidR="00DD2A42" w:rsidRPr="00F427F4" w:rsidRDefault="00DD2A42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679089</w:t>
            </w:r>
          </w:p>
        </w:tc>
        <w:tc>
          <w:tcPr>
            <w:tcW w:w="2355" w:type="dxa"/>
            <w:shd w:val="clear" w:color="auto" w:fill="auto"/>
          </w:tcPr>
          <w:p w14:paraId="78E78D76" w14:textId="23D664FE" w:rsidR="00DD2A42" w:rsidRPr="00F427F4" w:rsidRDefault="00DD2A42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Red. djelatnost SuRi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(iz evid. prihoda)</w:t>
            </w:r>
          </w:p>
        </w:tc>
        <w:tc>
          <w:tcPr>
            <w:tcW w:w="1765" w:type="dxa"/>
          </w:tcPr>
          <w:p w14:paraId="662ACE5E" w14:textId="166DEACD" w:rsidR="00DD2A42" w:rsidRPr="00F427F4" w:rsidRDefault="00705D4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247.403,00</w:t>
            </w:r>
          </w:p>
        </w:tc>
        <w:tc>
          <w:tcPr>
            <w:tcW w:w="1746" w:type="dxa"/>
            <w:shd w:val="clear" w:color="auto" w:fill="auto"/>
          </w:tcPr>
          <w:p w14:paraId="133BD893" w14:textId="583FDD1D" w:rsidR="00DD2A42" w:rsidRPr="00F427F4" w:rsidRDefault="00705D44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2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.589,23</w:t>
            </w:r>
          </w:p>
        </w:tc>
        <w:tc>
          <w:tcPr>
            <w:tcW w:w="1018" w:type="dxa"/>
            <w:shd w:val="clear" w:color="auto" w:fill="auto"/>
          </w:tcPr>
          <w:p w14:paraId="79F02C82" w14:textId="01CAC5DF" w:rsidR="00DD2A42" w:rsidRPr="00F427F4" w:rsidRDefault="00705D44" w:rsidP="00705D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73,40</w:t>
            </w:r>
          </w:p>
        </w:tc>
      </w:tr>
    </w:tbl>
    <w:p w14:paraId="584F908F" w14:textId="77777777" w:rsidR="00DD2A42" w:rsidRPr="00F427F4" w:rsidRDefault="00DD2A4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5B5BD" w14:textId="02693943" w:rsidR="00D9663A" w:rsidRDefault="00705D44" w:rsidP="00D9663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26202" w:rsidRPr="00F427F4">
        <w:rPr>
          <w:rFonts w:ascii="Times New Roman" w:hAnsi="Times New Roman" w:cs="Times New Roman"/>
          <w:b/>
          <w:sz w:val="24"/>
          <w:szCs w:val="24"/>
        </w:rPr>
        <w:t>.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="00D9663A" w:rsidRPr="00D9663A">
        <w:rPr>
          <w:rFonts w:ascii="Times New Roman" w:hAnsi="Times New Roman" w:cs="Times New Roman"/>
          <w:b/>
          <w:sz w:val="24"/>
          <w:szCs w:val="24"/>
        </w:rPr>
        <w:t xml:space="preserve">Izvor </w:t>
      </w:r>
      <w:r w:rsidR="00D9663A">
        <w:rPr>
          <w:rFonts w:ascii="Times New Roman" w:hAnsi="Times New Roman" w:cs="Times New Roman"/>
          <w:b/>
          <w:sz w:val="24"/>
          <w:szCs w:val="24"/>
        </w:rPr>
        <w:t>43</w:t>
      </w:r>
      <w:r w:rsidR="00D9663A" w:rsidRPr="00D9663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9663A">
        <w:rPr>
          <w:rFonts w:ascii="Times New Roman" w:hAnsi="Times New Roman" w:cs="Times New Roman"/>
          <w:b/>
          <w:sz w:val="24"/>
          <w:szCs w:val="24"/>
        </w:rPr>
        <w:t xml:space="preserve"> ostali prihodi za posebne namjene</w:t>
      </w:r>
    </w:p>
    <w:p w14:paraId="43D7473D" w14:textId="23328021" w:rsidR="00126202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Prihodi po posebnim propisima na </w:t>
      </w:r>
      <w:r w:rsidRPr="00F427F4">
        <w:rPr>
          <w:rFonts w:ascii="Times New Roman" w:hAnsi="Times New Roman" w:cs="Times New Roman"/>
          <w:b/>
          <w:sz w:val="24"/>
          <w:szCs w:val="24"/>
        </w:rPr>
        <w:t>podskupini 652</w:t>
      </w:r>
      <w:r w:rsidRPr="00F427F4">
        <w:rPr>
          <w:rFonts w:ascii="Times New Roman" w:hAnsi="Times New Roman" w:cs="Times New Roman"/>
          <w:sz w:val="24"/>
          <w:szCs w:val="24"/>
        </w:rPr>
        <w:t>, koje je fakultet planirao ostvariti u 202</w:t>
      </w:r>
      <w:r w:rsidR="00705D44">
        <w:rPr>
          <w:rFonts w:ascii="Times New Roman" w:hAnsi="Times New Roman" w:cs="Times New Roman"/>
          <w:sz w:val="24"/>
          <w:szCs w:val="24"/>
        </w:rPr>
        <w:t>5</w:t>
      </w:r>
      <w:r w:rsidRPr="00F427F4">
        <w:rPr>
          <w:rFonts w:ascii="Times New Roman" w:hAnsi="Times New Roman" w:cs="Times New Roman"/>
          <w:sz w:val="24"/>
          <w:szCs w:val="24"/>
        </w:rPr>
        <w:t xml:space="preserve">. godini iz izvora </w:t>
      </w:r>
      <w:r w:rsidRPr="00F427F4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43 - ostali prihodi za posebne namjene</w:t>
      </w:r>
      <w:r w:rsidRPr="00F427F4">
        <w:rPr>
          <w:rFonts w:ascii="Times New Roman" w:hAnsi="Times New Roman" w:cs="Times New Roman"/>
          <w:sz w:val="24"/>
          <w:szCs w:val="24"/>
        </w:rPr>
        <w:t>, odnose se na sufinanciranje cijene usluge i par</w:t>
      </w:r>
      <w:r w:rsidR="00705D44">
        <w:rPr>
          <w:rFonts w:ascii="Times New Roman" w:hAnsi="Times New Roman" w:cs="Times New Roman"/>
          <w:sz w:val="24"/>
          <w:szCs w:val="24"/>
        </w:rPr>
        <w:t>ticipaciju školarina u iznosu 541.814</w:t>
      </w:r>
      <w:r w:rsidRPr="00F427F4">
        <w:rPr>
          <w:rFonts w:ascii="Times New Roman" w:hAnsi="Times New Roman" w:cs="Times New Roman"/>
          <w:sz w:val="24"/>
          <w:szCs w:val="24"/>
        </w:rPr>
        <w:t xml:space="preserve"> eura, prihode s naslova refu</w:t>
      </w:r>
      <w:r w:rsidR="001673BC">
        <w:rPr>
          <w:rFonts w:ascii="Times New Roman" w:hAnsi="Times New Roman" w:cs="Times New Roman"/>
          <w:sz w:val="24"/>
          <w:szCs w:val="24"/>
        </w:rPr>
        <w:t>ndacije štete u iznosu 3</w:t>
      </w:r>
      <w:r w:rsidRPr="00F427F4">
        <w:rPr>
          <w:rFonts w:ascii="Times New Roman" w:hAnsi="Times New Roman" w:cs="Times New Roman"/>
          <w:sz w:val="24"/>
          <w:szCs w:val="24"/>
        </w:rPr>
        <w:t>.000 eura i ostale prihode za posebne namjene (prethodni zdravstveni pregledi refundirani od HZZO i prihodi od Zaklade Sveu</w:t>
      </w:r>
      <w:r w:rsidR="001673BC">
        <w:rPr>
          <w:rFonts w:ascii="Times New Roman" w:hAnsi="Times New Roman" w:cs="Times New Roman"/>
          <w:sz w:val="24"/>
          <w:szCs w:val="24"/>
        </w:rPr>
        <w:t xml:space="preserve">čilišta u Rijeci) u iznosu </w:t>
      </w:r>
      <w:r w:rsidR="00705D44">
        <w:rPr>
          <w:rFonts w:ascii="Times New Roman" w:hAnsi="Times New Roman" w:cs="Times New Roman"/>
          <w:sz w:val="24"/>
          <w:szCs w:val="24"/>
        </w:rPr>
        <w:t>5</w:t>
      </w:r>
      <w:r w:rsidR="001673BC">
        <w:rPr>
          <w:rFonts w:ascii="Times New Roman" w:hAnsi="Times New Roman" w:cs="Times New Roman"/>
          <w:sz w:val="24"/>
          <w:szCs w:val="24"/>
        </w:rPr>
        <w:t>.000</w:t>
      </w:r>
      <w:r w:rsidRPr="00F427F4">
        <w:rPr>
          <w:rFonts w:ascii="Times New Roman" w:hAnsi="Times New Roman" w:cs="Times New Roman"/>
          <w:sz w:val="24"/>
          <w:szCs w:val="24"/>
        </w:rPr>
        <w:t xml:space="preserve"> eura. U</w:t>
      </w:r>
      <w:r w:rsidR="00705D44">
        <w:rPr>
          <w:rFonts w:ascii="Times New Roman" w:hAnsi="Times New Roman" w:cs="Times New Roman"/>
          <w:sz w:val="24"/>
          <w:szCs w:val="24"/>
        </w:rPr>
        <w:t xml:space="preserve"> godišnjem razdoblju I.-XII.2025</w:t>
      </w:r>
      <w:r w:rsidRPr="00F427F4">
        <w:rPr>
          <w:rFonts w:ascii="Times New Roman" w:hAnsi="Times New Roman" w:cs="Times New Roman"/>
          <w:sz w:val="24"/>
          <w:szCs w:val="24"/>
        </w:rPr>
        <w:t xml:space="preserve">. na ovoj poziciji ostvareno je </w:t>
      </w:r>
      <w:r w:rsidR="0048160C">
        <w:rPr>
          <w:rFonts w:ascii="Times New Roman" w:hAnsi="Times New Roman" w:cs="Times New Roman"/>
          <w:sz w:val="24"/>
          <w:szCs w:val="24"/>
        </w:rPr>
        <w:t>529.686,57 eur, što iznosi 96</w:t>
      </w:r>
      <w:r w:rsidRPr="00F427F4">
        <w:rPr>
          <w:rFonts w:ascii="Times New Roman" w:hAnsi="Times New Roman" w:cs="Times New Roman"/>
          <w:sz w:val="24"/>
          <w:szCs w:val="24"/>
        </w:rPr>
        <w:t>% u odnosu na plan.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233"/>
        <w:gridCol w:w="2355"/>
        <w:gridCol w:w="1765"/>
        <w:gridCol w:w="1746"/>
        <w:gridCol w:w="1018"/>
      </w:tblGrid>
      <w:tr w:rsidR="003B5A7C" w:rsidRPr="00F427F4" w14:paraId="2BB3ADFD" w14:textId="77777777" w:rsidTr="00D9663A">
        <w:tc>
          <w:tcPr>
            <w:tcW w:w="1376" w:type="dxa"/>
            <w:shd w:val="clear" w:color="auto" w:fill="auto"/>
          </w:tcPr>
          <w:p w14:paraId="682E3991" w14:textId="77777777" w:rsidR="003B5A7C" w:rsidRPr="00F427F4" w:rsidRDefault="003B5A7C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1233" w:type="dxa"/>
          </w:tcPr>
          <w:p w14:paraId="506354E7" w14:textId="77777777" w:rsidR="003B5A7C" w:rsidRPr="00F427F4" w:rsidRDefault="003B5A7C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355" w:type="dxa"/>
            <w:shd w:val="clear" w:color="auto" w:fill="auto"/>
          </w:tcPr>
          <w:p w14:paraId="0DBD0AF9" w14:textId="77777777" w:rsidR="003B5A7C" w:rsidRPr="00F427F4" w:rsidRDefault="003B5A7C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1765" w:type="dxa"/>
          </w:tcPr>
          <w:p w14:paraId="285A98E6" w14:textId="3AB74883" w:rsidR="003B5A7C" w:rsidRPr="00F427F4" w:rsidRDefault="003B5A7C" w:rsidP="00481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Rebalans 202</w:t>
            </w:r>
            <w:r w:rsidR="004816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746" w:type="dxa"/>
            <w:shd w:val="clear" w:color="auto" w:fill="auto"/>
          </w:tcPr>
          <w:p w14:paraId="36A86A00" w14:textId="0517D70F" w:rsidR="003B5A7C" w:rsidRPr="00F427F4" w:rsidRDefault="003B5A7C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8160C">
              <w:rPr>
                <w:rFonts w:ascii="Times New Roman" w:hAnsi="Times New Roman" w:cs="Times New Roman"/>
                <w:sz w:val="24"/>
                <w:szCs w:val="24"/>
              </w:rPr>
              <w:t>zvršenje 2025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  <w:tc>
          <w:tcPr>
            <w:tcW w:w="1018" w:type="dxa"/>
            <w:shd w:val="clear" w:color="auto" w:fill="auto"/>
          </w:tcPr>
          <w:p w14:paraId="75F74F8C" w14:textId="77777777" w:rsidR="003B5A7C" w:rsidRPr="00F427F4" w:rsidRDefault="003B5A7C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</w:tr>
      <w:tr w:rsidR="003B5A7C" w:rsidRPr="00F427F4" w14:paraId="257E381B" w14:textId="77777777" w:rsidTr="00D9663A">
        <w:tc>
          <w:tcPr>
            <w:tcW w:w="1376" w:type="dxa"/>
            <w:shd w:val="clear" w:color="auto" w:fill="auto"/>
          </w:tcPr>
          <w:p w14:paraId="27268DC4" w14:textId="59A66810" w:rsidR="003B5A7C" w:rsidRPr="00F427F4" w:rsidRDefault="003B5A7C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33" w:type="dxa"/>
          </w:tcPr>
          <w:p w14:paraId="0D195D4A" w14:textId="77777777" w:rsidR="003B5A7C" w:rsidRPr="00F427F4" w:rsidRDefault="003B5A7C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679089</w:t>
            </w:r>
          </w:p>
        </w:tc>
        <w:tc>
          <w:tcPr>
            <w:tcW w:w="2355" w:type="dxa"/>
            <w:shd w:val="clear" w:color="auto" w:fill="auto"/>
          </w:tcPr>
          <w:p w14:paraId="211CA57E" w14:textId="77777777" w:rsidR="003B5A7C" w:rsidRPr="00F427F4" w:rsidRDefault="003B5A7C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Red. djelatnost SuRi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(iz evid. prihoda)</w:t>
            </w:r>
          </w:p>
        </w:tc>
        <w:tc>
          <w:tcPr>
            <w:tcW w:w="1765" w:type="dxa"/>
          </w:tcPr>
          <w:p w14:paraId="6305A2CC" w14:textId="63C35D01" w:rsidR="003B5A7C" w:rsidRPr="00F427F4" w:rsidRDefault="0048160C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549.814</w:t>
            </w:r>
            <w:r w:rsidR="003B5A7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6" w:type="dxa"/>
            <w:shd w:val="clear" w:color="auto" w:fill="auto"/>
          </w:tcPr>
          <w:p w14:paraId="6A4345A5" w14:textId="080DBC43" w:rsidR="003B5A7C" w:rsidRPr="00F427F4" w:rsidRDefault="0048160C" w:rsidP="00481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B5A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686,5</w:t>
            </w:r>
            <w:r w:rsidR="003B5A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8" w:type="dxa"/>
            <w:shd w:val="clear" w:color="auto" w:fill="auto"/>
          </w:tcPr>
          <w:p w14:paraId="31D3CD78" w14:textId="0BB269C3" w:rsidR="003B5A7C" w:rsidRPr="00F427F4" w:rsidRDefault="003B5A7C" w:rsidP="00D966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160C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57E21C2" w14:textId="1B1D73B3" w:rsidR="003B5A7C" w:rsidRDefault="003B5A7C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77DAC" w14:textId="6468D524" w:rsidR="00D9663A" w:rsidRDefault="00705D44" w:rsidP="00D9663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26202" w:rsidRPr="00427B45">
        <w:rPr>
          <w:rFonts w:ascii="Times New Roman" w:hAnsi="Times New Roman" w:cs="Times New Roman"/>
          <w:b/>
          <w:sz w:val="24"/>
          <w:szCs w:val="24"/>
        </w:rPr>
        <w:t>.</w:t>
      </w:r>
      <w:r w:rsidR="00126202" w:rsidRPr="00427B45">
        <w:rPr>
          <w:rFonts w:ascii="Times New Roman" w:hAnsi="Times New Roman" w:cs="Times New Roman"/>
          <w:sz w:val="24"/>
          <w:szCs w:val="24"/>
        </w:rPr>
        <w:t xml:space="preserve"> </w:t>
      </w:r>
      <w:r w:rsidR="00D9663A" w:rsidRPr="00D9663A">
        <w:rPr>
          <w:rFonts w:ascii="Times New Roman" w:hAnsi="Times New Roman" w:cs="Times New Roman"/>
          <w:b/>
          <w:sz w:val="24"/>
          <w:szCs w:val="24"/>
        </w:rPr>
        <w:t xml:space="preserve">Izvor </w:t>
      </w:r>
      <w:r w:rsidR="00D9663A">
        <w:rPr>
          <w:rFonts w:ascii="Times New Roman" w:hAnsi="Times New Roman" w:cs="Times New Roman"/>
          <w:b/>
          <w:sz w:val="24"/>
          <w:szCs w:val="24"/>
        </w:rPr>
        <w:t>5</w:t>
      </w:r>
      <w:r w:rsidR="00D9663A" w:rsidRPr="00D9663A">
        <w:rPr>
          <w:rFonts w:ascii="Times New Roman" w:hAnsi="Times New Roman" w:cs="Times New Roman"/>
          <w:b/>
          <w:sz w:val="24"/>
          <w:szCs w:val="24"/>
        </w:rPr>
        <w:t>1 –</w:t>
      </w:r>
      <w:r w:rsidR="00D9663A">
        <w:rPr>
          <w:rFonts w:ascii="Times New Roman" w:hAnsi="Times New Roman" w:cs="Times New Roman"/>
          <w:b/>
          <w:sz w:val="24"/>
          <w:szCs w:val="24"/>
        </w:rPr>
        <w:t xml:space="preserve"> pomoći EU</w:t>
      </w:r>
    </w:p>
    <w:p w14:paraId="34D4C39B" w14:textId="669110EC" w:rsidR="00126202" w:rsidRPr="00F427F4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45">
        <w:rPr>
          <w:rFonts w:ascii="Times New Roman" w:hAnsi="Times New Roman" w:cs="Times New Roman"/>
          <w:b/>
          <w:sz w:val="24"/>
          <w:szCs w:val="24"/>
        </w:rPr>
        <w:t xml:space="preserve">Podskupina 632 </w:t>
      </w:r>
      <w:r w:rsidR="00D9663A">
        <w:rPr>
          <w:rFonts w:ascii="Times New Roman" w:hAnsi="Times New Roman" w:cs="Times New Roman"/>
          <w:sz w:val="24"/>
          <w:szCs w:val="24"/>
        </w:rPr>
        <w:t>sadrži većinom</w:t>
      </w:r>
      <w:r w:rsidRPr="00F427F4">
        <w:rPr>
          <w:rFonts w:ascii="Times New Roman" w:hAnsi="Times New Roman" w:cs="Times New Roman"/>
          <w:sz w:val="24"/>
          <w:szCs w:val="24"/>
        </w:rPr>
        <w:t xml:space="preserve"> prihode ostvarene iz izvora </w:t>
      </w:r>
      <w:r w:rsidRPr="00F427F4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51 - pomoći EU</w:t>
      </w:r>
      <w:r w:rsidRPr="00F427F4">
        <w:rPr>
          <w:rFonts w:ascii="Times New Roman" w:hAnsi="Times New Roman" w:cs="Times New Roman"/>
          <w:sz w:val="24"/>
          <w:szCs w:val="24"/>
        </w:rPr>
        <w:t>, dakle pomoći od međunarodnih organizacija te institucija i tijela EU za provedbu projek</w:t>
      </w:r>
      <w:r w:rsidR="00427B45">
        <w:rPr>
          <w:rFonts w:ascii="Times New Roman" w:hAnsi="Times New Roman" w:cs="Times New Roman"/>
          <w:sz w:val="24"/>
          <w:szCs w:val="24"/>
        </w:rPr>
        <w:t>ata ERASMUS+ i Horizon</w:t>
      </w:r>
      <w:r w:rsidRPr="00F427F4">
        <w:rPr>
          <w:rFonts w:ascii="Times New Roman" w:hAnsi="Times New Roman" w:cs="Times New Roman"/>
          <w:sz w:val="24"/>
          <w:szCs w:val="24"/>
        </w:rPr>
        <w:t xml:space="preserve"> (A679072-EU projekti Sveučilišta u Rijeci iz evidencijskih prihoda). N</w:t>
      </w:r>
      <w:r w:rsidR="00427B45">
        <w:rPr>
          <w:rFonts w:ascii="Times New Roman" w:hAnsi="Times New Roman" w:cs="Times New Roman"/>
          <w:sz w:val="24"/>
          <w:szCs w:val="24"/>
        </w:rPr>
        <w:t>a istoj poziciji Fakultet u 202</w:t>
      </w:r>
      <w:r w:rsidR="0048160C">
        <w:rPr>
          <w:rFonts w:ascii="Times New Roman" w:hAnsi="Times New Roman" w:cs="Times New Roman"/>
          <w:sz w:val="24"/>
          <w:szCs w:val="24"/>
        </w:rPr>
        <w:t>5</w:t>
      </w:r>
      <w:r w:rsidRPr="00F427F4">
        <w:rPr>
          <w:rFonts w:ascii="Times New Roman" w:hAnsi="Times New Roman" w:cs="Times New Roman"/>
          <w:sz w:val="24"/>
          <w:szCs w:val="24"/>
        </w:rPr>
        <w:t xml:space="preserve">. godini planirao je ostvariti ukupno </w:t>
      </w:r>
      <w:r w:rsidR="0048160C">
        <w:rPr>
          <w:rFonts w:ascii="Times New Roman" w:hAnsi="Times New Roman" w:cs="Times New Roman"/>
          <w:sz w:val="24"/>
          <w:szCs w:val="24"/>
        </w:rPr>
        <w:t>40.483,00 eur, a ostvarenje je 92,74</w:t>
      </w:r>
      <w:r w:rsidR="00427B45">
        <w:rPr>
          <w:rFonts w:ascii="Times New Roman" w:hAnsi="Times New Roman" w:cs="Times New Roman"/>
          <w:sz w:val="24"/>
          <w:szCs w:val="24"/>
        </w:rPr>
        <w:t>%, kako slijedi</w:t>
      </w:r>
      <w:r w:rsidRPr="00F427F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3471"/>
        <w:gridCol w:w="1701"/>
        <w:gridCol w:w="1842"/>
      </w:tblGrid>
      <w:tr w:rsidR="001673BC" w14:paraId="2408439F" w14:textId="77777777" w:rsidTr="001673BC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C80E" w14:textId="77777777" w:rsidR="001673BC" w:rsidRDefault="001673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7336" w14:textId="77777777" w:rsidR="001673BC" w:rsidRDefault="001673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CC50" w14:textId="77777777" w:rsidR="001673BC" w:rsidRDefault="001673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EU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EFE8" w14:textId="35B8B590" w:rsidR="001673BC" w:rsidRDefault="001673BC" w:rsidP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Rebalans 202</w:t>
            </w:r>
            <w:r w:rsidR="004816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5EC4" w14:textId="00B54500" w:rsidR="001673BC" w:rsidRDefault="001673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8160C">
              <w:rPr>
                <w:rFonts w:ascii="Times New Roman" w:hAnsi="Times New Roman" w:cs="Times New Roman"/>
                <w:sz w:val="24"/>
                <w:szCs w:val="24"/>
              </w:rPr>
              <w:t>zvršenje 2025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</w:tr>
      <w:tr w:rsidR="001673BC" w14:paraId="2E35D7FE" w14:textId="77777777" w:rsidTr="0048160C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EA00" w14:textId="77777777" w:rsidR="001673BC" w:rsidRDefault="001673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E787" w14:textId="77777777" w:rsidR="001673BC" w:rsidRDefault="001673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04AE" w14:textId="6DDE99F6" w:rsidR="001673BC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BLISS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4A7F" w14:textId="77E2B49C" w:rsidR="001673BC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8.003,00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C853" w14:textId="6AB90D31" w:rsidR="001673BC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7.930,40</w:t>
            </w:r>
          </w:p>
        </w:tc>
      </w:tr>
      <w:tr w:rsidR="001673BC" w14:paraId="3DD1FE58" w14:textId="77777777" w:rsidTr="0048160C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FBD2" w14:textId="77777777" w:rsidR="001673BC" w:rsidRDefault="001673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8B3D" w14:textId="77777777" w:rsidR="001673BC" w:rsidRDefault="001673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AF33" w14:textId="2204D1C9" w:rsidR="001673BC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Horizon INNO2MARE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41A" w14:textId="6B63FC61" w:rsidR="001673BC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B47E" w14:textId="64E7954B" w:rsidR="001673BC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3.910,50</w:t>
            </w:r>
          </w:p>
        </w:tc>
      </w:tr>
      <w:tr w:rsidR="001673BC" w14:paraId="7F9B69FF" w14:textId="77777777" w:rsidTr="0048160C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5521" w14:textId="77777777" w:rsidR="001673BC" w:rsidRDefault="001673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A0B0" w14:textId="77777777" w:rsidR="001673BC" w:rsidRDefault="001673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67A3" w14:textId="021D5C0D" w:rsidR="001673BC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10B" w14:textId="306A5B13" w:rsidR="001673BC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7AE5" w14:textId="3C6852EA" w:rsidR="001673BC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9.000,00</w:t>
            </w:r>
          </w:p>
        </w:tc>
      </w:tr>
      <w:tr w:rsidR="001673BC" w14:paraId="2E2CF6AB" w14:textId="77777777" w:rsidTr="0048160C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4E6E" w14:textId="77777777" w:rsidR="001673BC" w:rsidRDefault="001673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8FED" w14:textId="77777777" w:rsidR="001673BC" w:rsidRDefault="001673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5940" w14:textId="0A10CAEB" w:rsidR="001673BC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TRAINEE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EA81" w14:textId="169CCB98" w:rsidR="001673BC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18.480,00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3340" w14:textId="16A41D0D" w:rsidR="001673BC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16.704,00</w:t>
            </w:r>
          </w:p>
        </w:tc>
      </w:tr>
      <w:tr w:rsidR="00427B45" w14:paraId="10F0E343" w14:textId="77777777" w:rsidTr="001673BC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4E9B" w14:textId="0025DD59" w:rsidR="00427B45" w:rsidRDefault="00427B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56F7" w14:textId="77777777" w:rsidR="00427B45" w:rsidRDefault="00427B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696" w14:textId="4D080951" w:rsidR="00427B45" w:rsidRPr="00427B45" w:rsidRDefault="00427B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27B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0EB4" w14:textId="781470AA" w:rsidR="00427B45" w:rsidRPr="00427B45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40.483,00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CA6F" w14:textId="23A800B2" w:rsidR="00427B45" w:rsidRPr="00427B45" w:rsidRDefault="0048160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37.544,90</w:t>
            </w:r>
          </w:p>
        </w:tc>
      </w:tr>
    </w:tbl>
    <w:p w14:paraId="5467D0AC" w14:textId="77777777" w:rsidR="001673BC" w:rsidRPr="00F427F4" w:rsidRDefault="001673BC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0FAED" w14:textId="5021940F" w:rsidR="00D9663A" w:rsidRDefault="00705D44" w:rsidP="00D9663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26202" w:rsidRPr="009425AE">
        <w:rPr>
          <w:rFonts w:ascii="Times New Roman" w:hAnsi="Times New Roman" w:cs="Times New Roman"/>
          <w:b/>
          <w:sz w:val="24"/>
          <w:szCs w:val="24"/>
        </w:rPr>
        <w:t>.</w:t>
      </w:r>
      <w:r w:rsidR="00126202" w:rsidRPr="009425AE">
        <w:rPr>
          <w:rFonts w:ascii="Times New Roman" w:hAnsi="Times New Roman" w:cs="Times New Roman"/>
          <w:sz w:val="24"/>
          <w:szCs w:val="24"/>
        </w:rPr>
        <w:t xml:space="preserve"> </w:t>
      </w:r>
      <w:r w:rsidR="00D9663A" w:rsidRPr="00D9663A">
        <w:rPr>
          <w:rFonts w:ascii="Times New Roman" w:hAnsi="Times New Roman" w:cs="Times New Roman"/>
          <w:b/>
          <w:sz w:val="24"/>
          <w:szCs w:val="24"/>
        </w:rPr>
        <w:t xml:space="preserve">Izvor </w:t>
      </w:r>
      <w:r w:rsidR="00D9663A">
        <w:rPr>
          <w:rFonts w:ascii="Times New Roman" w:hAnsi="Times New Roman" w:cs="Times New Roman"/>
          <w:b/>
          <w:sz w:val="24"/>
          <w:szCs w:val="24"/>
        </w:rPr>
        <w:t>52</w:t>
      </w:r>
      <w:r w:rsidR="00D9663A" w:rsidRPr="00D9663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9663A">
        <w:rPr>
          <w:rFonts w:ascii="Times New Roman" w:hAnsi="Times New Roman" w:cs="Times New Roman"/>
          <w:b/>
          <w:sz w:val="24"/>
          <w:szCs w:val="24"/>
        </w:rPr>
        <w:t xml:space="preserve"> ostale pomoći</w:t>
      </w:r>
    </w:p>
    <w:p w14:paraId="38548BFB" w14:textId="6DECAC97" w:rsidR="00126202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AE">
        <w:rPr>
          <w:rFonts w:ascii="Times New Roman" w:hAnsi="Times New Roman" w:cs="Times New Roman"/>
          <w:sz w:val="24"/>
          <w:szCs w:val="24"/>
        </w:rPr>
        <w:t>Fakultet ostvaruje prijenose</w:t>
      </w:r>
      <w:r w:rsidRPr="00F427F4">
        <w:rPr>
          <w:rFonts w:ascii="Times New Roman" w:hAnsi="Times New Roman" w:cs="Times New Roman"/>
          <w:sz w:val="24"/>
          <w:szCs w:val="24"/>
        </w:rPr>
        <w:t xml:space="preserve"> između proračunskih korisnika istog proračuna na </w:t>
      </w:r>
      <w:r w:rsidRPr="00F427F4">
        <w:rPr>
          <w:rFonts w:ascii="Times New Roman" w:hAnsi="Times New Roman" w:cs="Times New Roman"/>
          <w:b/>
          <w:sz w:val="24"/>
          <w:szCs w:val="24"/>
        </w:rPr>
        <w:t xml:space="preserve">podskupini 639 </w:t>
      </w:r>
      <w:r w:rsidRPr="00F427F4">
        <w:rPr>
          <w:rFonts w:ascii="Times New Roman" w:hAnsi="Times New Roman" w:cs="Times New Roman"/>
          <w:sz w:val="24"/>
          <w:szCs w:val="24"/>
        </w:rPr>
        <w:t xml:space="preserve">iz izvora </w:t>
      </w:r>
      <w:r w:rsidR="00D9663A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52 - ostale pomoći </w:t>
      </w:r>
      <w:r w:rsidRPr="00F427F4">
        <w:rPr>
          <w:rFonts w:ascii="Times New Roman" w:hAnsi="Times New Roman" w:cs="Times New Roman"/>
          <w:sz w:val="24"/>
          <w:szCs w:val="24"/>
        </w:rPr>
        <w:t xml:space="preserve"> koji se odnose na ostvarene prihode od Sveučilišta u Rijeci (potpore zn</w:t>
      </w:r>
      <w:r w:rsidR="0022621B">
        <w:rPr>
          <w:rFonts w:ascii="Times New Roman" w:hAnsi="Times New Roman" w:cs="Times New Roman"/>
          <w:sz w:val="24"/>
          <w:szCs w:val="24"/>
        </w:rPr>
        <w:t>anstvenim istraživanjima</w:t>
      </w:r>
      <w:r w:rsidRPr="00F427F4">
        <w:rPr>
          <w:rFonts w:ascii="Times New Roman" w:hAnsi="Times New Roman" w:cs="Times New Roman"/>
          <w:sz w:val="24"/>
          <w:szCs w:val="24"/>
        </w:rPr>
        <w:t xml:space="preserve">, </w:t>
      </w:r>
      <w:r w:rsidR="00694549">
        <w:rPr>
          <w:rFonts w:ascii="Times New Roman" w:hAnsi="Times New Roman" w:cs="Times New Roman"/>
          <w:sz w:val="24"/>
          <w:szCs w:val="24"/>
        </w:rPr>
        <w:t xml:space="preserve">mobilnost znanstvenika, </w:t>
      </w:r>
      <w:r w:rsidRPr="00F427F4">
        <w:rPr>
          <w:rFonts w:ascii="Times New Roman" w:hAnsi="Times New Roman" w:cs="Times New Roman"/>
          <w:sz w:val="24"/>
          <w:szCs w:val="24"/>
        </w:rPr>
        <w:t>sufinanciranje studentskog zbora i nagrade za znan</w:t>
      </w:r>
      <w:r w:rsidR="0022621B">
        <w:rPr>
          <w:rFonts w:ascii="Times New Roman" w:hAnsi="Times New Roman" w:cs="Times New Roman"/>
          <w:sz w:val="24"/>
          <w:szCs w:val="24"/>
        </w:rPr>
        <w:t>stvenu izvrsnost), zatim prihode</w:t>
      </w:r>
      <w:r w:rsidR="001E4395">
        <w:rPr>
          <w:rFonts w:ascii="Times New Roman" w:hAnsi="Times New Roman" w:cs="Times New Roman"/>
          <w:sz w:val="24"/>
          <w:szCs w:val="24"/>
        </w:rPr>
        <w:t xml:space="preserve"> iz Ministarstva znanosti,</w:t>
      </w:r>
      <w:r w:rsidRPr="00F427F4"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1E4395">
        <w:rPr>
          <w:rFonts w:ascii="Times New Roman" w:hAnsi="Times New Roman" w:cs="Times New Roman"/>
          <w:sz w:val="24"/>
          <w:szCs w:val="24"/>
        </w:rPr>
        <w:t xml:space="preserve"> i mladih</w:t>
      </w:r>
      <w:r w:rsidRPr="00F427F4">
        <w:rPr>
          <w:rFonts w:ascii="Times New Roman" w:hAnsi="Times New Roman" w:cs="Times New Roman"/>
          <w:sz w:val="24"/>
          <w:szCs w:val="24"/>
        </w:rPr>
        <w:t xml:space="preserve"> za sufinancira</w:t>
      </w:r>
      <w:r w:rsidR="00694549">
        <w:rPr>
          <w:rFonts w:ascii="Times New Roman" w:hAnsi="Times New Roman" w:cs="Times New Roman"/>
          <w:sz w:val="24"/>
          <w:szCs w:val="24"/>
        </w:rPr>
        <w:t>nje bilateralnih</w:t>
      </w:r>
      <w:r w:rsidRPr="00F427F4">
        <w:rPr>
          <w:rFonts w:ascii="Times New Roman" w:hAnsi="Times New Roman" w:cs="Times New Roman"/>
          <w:sz w:val="24"/>
          <w:szCs w:val="24"/>
        </w:rPr>
        <w:t xml:space="preserve"> projek</w:t>
      </w:r>
      <w:r w:rsidR="00694549">
        <w:rPr>
          <w:rFonts w:ascii="Times New Roman" w:hAnsi="Times New Roman" w:cs="Times New Roman"/>
          <w:sz w:val="24"/>
          <w:szCs w:val="24"/>
        </w:rPr>
        <w:t>a</w:t>
      </w:r>
      <w:r w:rsidRPr="00F427F4">
        <w:rPr>
          <w:rFonts w:ascii="Times New Roman" w:hAnsi="Times New Roman" w:cs="Times New Roman"/>
          <w:sz w:val="24"/>
          <w:szCs w:val="24"/>
        </w:rPr>
        <w:t>ta,</w:t>
      </w:r>
      <w:r w:rsidR="00694549">
        <w:rPr>
          <w:rFonts w:ascii="Times New Roman" w:hAnsi="Times New Roman" w:cs="Times New Roman"/>
          <w:sz w:val="24"/>
          <w:szCs w:val="24"/>
        </w:rPr>
        <w:t xml:space="preserve"> </w:t>
      </w:r>
      <w:r w:rsidR="0022621B">
        <w:rPr>
          <w:rFonts w:ascii="Times New Roman" w:hAnsi="Times New Roman" w:cs="Times New Roman"/>
          <w:sz w:val="24"/>
          <w:szCs w:val="24"/>
        </w:rPr>
        <w:t>ostvarene</w:t>
      </w:r>
      <w:r w:rsidRPr="00F427F4">
        <w:rPr>
          <w:rFonts w:ascii="Times New Roman" w:hAnsi="Times New Roman" w:cs="Times New Roman"/>
          <w:sz w:val="24"/>
          <w:szCs w:val="24"/>
        </w:rPr>
        <w:t xml:space="preserve"> prih</w:t>
      </w:r>
      <w:r w:rsidR="0022621B">
        <w:rPr>
          <w:rFonts w:ascii="Times New Roman" w:hAnsi="Times New Roman" w:cs="Times New Roman"/>
          <w:sz w:val="24"/>
          <w:szCs w:val="24"/>
        </w:rPr>
        <w:t>ode od</w:t>
      </w:r>
      <w:r w:rsidRPr="00F427F4">
        <w:rPr>
          <w:rFonts w:ascii="Times New Roman" w:hAnsi="Times New Roman" w:cs="Times New Roman"/>
          <w:sz w:val="24"/>
          <w:szCs w:val="24"/>
        </w:rPr>
        <w:t xml:space="preserve"> Hrvatske zaklade za znanost za projekte i plaće doktoranada, mobilnost znanstvenika, (A679089-Redovna djelatnost Sveučilišta u Rijeci iz evidencijskih prihoda), kao i prijenose EU sredstava (A679072-EU projekti Sveučilišta u Rijeci iz evidencijskih pri</w:t>
      </w:r>
      <w:r w:rsidR="0022621B">
        <w:rPr>
          <w:rFonts w:ascii="Times New Roman" w:hAnsi="Times New Roman" w:cs="Times New Roman"/>
          <w:sz w:val="24"/>
          <w:szCs w:val="24"/>
        </w:rPr>
        <w:t xml:space="preserve">hoda). </w:t>
      </w:r>
      <w:r w:rsidRPr="00F427F4">
        <w:rPr>
          <w:rFonts w:ascii="Times New Roman" w:hAnsi="Times New Roman" w:cs="Times New Roman"/>
          <w:sz w:val="24"/>
          <w:szCs w:val="24"/>
        </w:rPr>
        <w:t>U 202</w:t>
      </w:r>
      <w:r w:rsidR="00694549">
        <w:rPr>
          <w:rFonts w:ascii="Times New Roman" w:hAnsi="Times New Roman" w:cs="Times New Roman"/>
          <w:sz w:val="24"/>
          <w:szCs w:val="24"/>
        </w:rPr>
        <w:t>5</w:t>
      </w:r>
      <w:r w:rsidR="0022621B">
        <w:rPr>
          <w:rFonts w:ascii="Times New Roman" w:hAnsi="Times New Roman" w:cs="Times New Roman"/>
          <w:sz w:val="24"/>
          <w:szCs w:val="24"/>
        </w:rPr>
        <w:t>. god.</w:t>
      </w:r>
      <w:r w:rsidRPr="00F427F4">
        <w:rPr>
          <w:rFonts w:ascii="Times New Roman" w:hAnsi="Times New Roman" w:cs="Times New Roman"/>
          <w:sz w:val="24"/>
          <w:szCs w:val="24"/>
        </w:rPr>
        <w:t xml:space="preserve"> planirano je ostvarenje prijenosa sredstava o</w:t>
      </w:r>
      <w:r w:rsidR="0022621B">
        <w:rPr>
          <w:rFonts w:ascii="Times New Roman" w:hAnsi="Times New Roman" w:cs="Times New Roman"/>
          <w:sz w:val="24"/>
          <w:szCs w:val="24"/>
        </w:rPr>
        <w:t>d Sveučilišta u Rijeci</w:t>
      </w:r>
      <w:r w:rsidRPr="00F427F4">
        <w:rPr>
          <w:rFonts w:ascii="Times New Roman" w:hAnsi="Times New Roman" w:cs="Times New Roman"/>
          <w:sz w:val="24"/>
          <w:szCs w:val="24"/>
        </w:rPr>
        <w:t xml:space="preserve">, </w:t>
      </w:r>
      <w:r w:rsidR="00694549" w:rsidRPr="00F427F4">
        <w:rPr>
          <w:rFonts w:ascii="Times New Roman" w:hAnsi="Times New Roman" w:cs="Times New Roman"/>
          <w:sz w:val="24"/>
          <w:szCs w:val="24"/>
        </w:rPr>
        <w:t>prijenos sredstava od Ministarstva znanosti</w:t>
      </w:r>
      <w:r w:rsidR="00694549">
        <w:rPr>
          <w:rFonts w:ascii="Times New Roman" w:hAnsi="Times New Roman" w:cs="Times New Roman"/>
          <w:sz w:val="24"/>
          <w:szCs w:val="24"/>
        </w:rPr>
        <w:t xml:space="preserve">, </w:t>
      </w:r>
      <w:r w:rsidR="00694549" w:rsidRPr="00F427F4">
        <w:rPr>
          <w:rFonts w:ascii="Times New Roman" w:hAnsi="Times New Roman" w:cs="Times New Roman"/>
          <w:sz w:val="24"/>
          <w:szCs w:val="24"/>
        </w:rPr>
        <w:t>obrazovanja</w:t>
      </w:r>
      <w:r w:rsidR="00694549">
        <w:rPr>
          <w:rFonts w:ascii="Times New Roman" w:hAnsi="Times New Roman" w:cs="Times New Roman"/>
          <w:sz w:val="24"/>
          <w:szCs w:val="24"/>
        </w:rPr>
        <w:t xml:space="preserve"> i mladih</w:t>
      </w:r>
      <w:r w:rsidR="00694549"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="00694549">
        <w:rPr>
          <w:rFonts w:ascii="Times New Roman" w:hAnsi="Times New Roman" w:cs="Times New Roman"/>
          <w:sz w:val="24"/>
          <w:szCs w:val="24"/>
        </w:rPr>
        <w:t>pr</w:t>
      </w:r>
      <w:r w:rsidR="00694549" w:rsidRPr="00F427F4">
        <w:rPr>
          <w:rFonts w:ascii="Times New Roman" w:hAnsi="Times New Roman" w:cs="Times New Roman"/>
          <w:sz w:val="24"/>
          <w:szCs w:val="24"/>
        </w:rPr>
        <w:t xml:space="preserve">ovođenje </w:t>
      </w:r>
      <w:r w:rsidR="00694549">
        <w:rPr>
          <w:rFonts w:ascii="Times New Roman" w:hAnsi="Times New Roman" w:cs="Times New Roman"/>
          <w:sz w:val="24"/>
          <w:szCs w:val="24"/>
        </w:rPr>
        <w:t xml:space="preserve">bilateralnog </w:t>
      </w:r>
      <w:r w:rsidR="00225368">
        <w:rPr>
          <w:rFonts w:ascii="Times New Roman" w:hAnsi="Times New Roman" w:cs="Times New Roman"/>
          <w:sz w:val="24"/>
          <w:szCs w:val="24"/>
        </w:rPr>
        <w:t xml:space="preserve">hrvatsko-slovenskog </w:t>
      </w:r>
      <w:r w:rsidR="0022621B">
        <w:rPr>
          <w:rFonts w:ascii="Times New Roman" w:hAnsi="Times New Roman" w:cs="Times New Roman"/>
          <w:sz w:val="24"/>
          <w:szCs w:val="24"/>
        </w:rPr>
        <w:t>projekta</w:t>
      </w:r>
      <w:r w:rsidR="00694549">
        <w:rPr>
          <w:rFonts w:ascii="Times New Roman" w:hAnsi="Times New Roman" w:cs="Times New Roman"/>
          <w:sz w:val="24"/>
          <w:szCs w:val="24"/>
        </w:rPr>
        <w:t>,</w:t>
      </w:r>
      <w:r w:rsidR="00694549"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Pr="00F427F4">
        <w:rPr>
          <w:rFonts w:ascii="Times New Roman" w:hAnsi="Times New Roman" w:cs="Times New Roman"/>
          <w:sz w:val="24"/>
          <w:szCs w:val="24"/>
        </w:rPr>
        <w:t xml:space="preserve">prijenos sredstava za projekte Hrvatske zaklade za znanost u iznosu </w:t>
      </w:r>
      <w:r w:rsidR="00694549">
        <w:rPr>
          <w:rFonts w:ascii="Times New Roman" w:hAnsi="Times New Roman" w:cs="Times New Roman"/>
          <w:sz w:val="24"/>
          <w:szCs w:val="24"/>
        </w:rPr>
        <w:t>152.503,00</w:t>
      </w:r>
      <w:r w:rsidRPr="00F427F4">
        <w:rPr>
          <w:rFonts w:ascii="Times New Roman" w:hAnsi="Times New Roman" w:cs="Times New Roman"/>
          <w:sz w:val="24"/>
          <w:szCs w:val="24"/>
        </w:rPr>
        <w:t xml:space="preserve"> eur</w:t>
      </w:r>
      <w:r w:rsidR="00694549">
        <w:rPr>
          <w:rFonts w:ascii="Times New Roman" w:hAnsi="Times New Roman" w:cs="Times New Roman"/>
          <w:sz w:val="24"/>
          <w:szCs w:val="24"/>
        </w:rPr>
        <w:t>a</w:t>
      </w:r>
      <w:r w:rsidRPr="00F427F4">
        <w:rPr>
          <w:rFonts w:ascii="Times New Roman" w:hAnsi="Times New Roman" w:cs="Times New Roman"/>
          <w:sz w:val="24"/>
          <w:szCs w:val="24"/>
        </w:rPr>
        <w:t xml:space="preserve">, prijenos sredstava za plaće doktoranada Hrvatske zaklade za znanost u iznosu </w:t>
      </w:r>
      <w:r w:rsidR="00694549">
        <w:rPr>
          <w:rFonts w:ascii="Times New Roman" w:hAnsi="Times New Roman" w:cs="Times New Roman"/>
          <w:sz w:val="24"/>
          <w:szCs w:val="24"/>
        </w:rPr>
        <w:t>200.093</w:t>
      </w:r>
      <w:r w:rsidR="006D4120">
        <w:rPr>
          <w:rFonts w:ascii="Times New Roman" w:hAnsi="Times New Roman" w:cs="Times New Roman"/>
          <w:sz w:val="24"/>
          <w:szCs w:val="24"/>
        </w:rPr>
        <w:t>,00</w:t>
      </w:r>
      <w:r w:rsidRPr="00F427F4">
        <w:rPr>
          <w:rFonts w:ascii="Times New Roman" w:hAnsi="Times New Roman" w:cs="Times New Roman"/>
          <w:sz w:val="24"/>
          <w:szCs w:val="24"/>
        </w:rPr>
        <w:t xml:space="preserve"> eura</w:t>
      </w:r>
      <w:r w:rsidR="00694549">
        <w:rPr>
          <w:rFonts w:ascii="Times New Roman" w:hAnsi="Times New Roman" w:cs="Times New Roman"/>
          <w:sz w:val="24"/>
          <w:szCs w:val="24"/>
        </w:rPr>
        <w:t>,</w:t>
      </w:r>
      <w:r w:rsidRPr="00F427F4">
        <w:rPr>
          <w:rFonts w:ascii="Times New Roman" w:hAnsi="Times New Roman" w:cs="Times New Roman"/>
          <w:sz w:val="24"/>
          <w:szCs w:val="24"/>
        </w:rPr>
        <w:t xml:space="preserve"> sredstva za</w:t>
      </w:r>
      <w:r w:rsidR="00694549">
        <w:rPr>
          <w:rFonts w:ascii="Times New Roman" w:hAnsi="Times New Roman" w:cs="Times New Roman"/>
          <w:sz w:val="24"/>
          <w:szCs w:val="24"/>
        </w:rPr>
        <w:t xml:space="preserve"> program r</w:t>
      </w:r>
      <w:r w:rsidR="00BE0294">
        <w:rPr>
          <w:rFonts w:ascii="Times New Roman" w:hAnsi="Times New Roman" w:cs="Times New Roman"/>
          <w:sz w:val="24"/>
          <w:szCs w:val="24"/>
        </w:rPr>
        <w:t>azvoja karijera 113.200,00 eura, kao i prijenosi sredstava između proračunskih korisnika istog proračuna za EU projekte, kako je prikazano u tablici</w:t>
      </w:r>
      <w:r w:rsidR="006D4120">
        <w:rPr>
          <w:rFonts w:ascii="Times New Roman" w:hAnsi="Times New Roman" w:cs="Times New Roman"/>
          <w:sz w:val="24"/>
          <w:szCs w:val="24"/>
        </w:rPr>
        <w:t>.</w:t>
      </w:r>
      <w:r w:rsidRPr="00F427F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239"/>
        <w:gridCol w:w="3371"/>
        <w:gridCol w:w="1643"/>
        <w:gridCol w:w="1538"/>
        <w:gridCol w:w="1392"/>
      </w:tblGrid>
      <w:tr w:rsidR="00634A97" w14:paraId="7B73CF53" w14:textId="233E2235" w:rsidTr="00F839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1ED3" w14:textId="32ECD167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4D2F" w14:textId="3E5016B8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751" w14:textId="677B8370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aktivnosti / EU projekta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3710" w14:textId="5B2A52A6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Prijenos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253A" w14:textId="4217B4DC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Rebalans 2025. EUR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1AFB" w14:textId="4E11BEDB" w:rsidR="00BE0294" w:rsidRDefault="00BE0294" w:rsidP="00BE02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</w:tr>
      <w:tr w:rsidR="00634A97" w14:paraId="78472D77" w14:textId="6F1ECCD9" w:rsidTr="00F839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9844" w14:textId="6ECB7C72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3EF3" w14:textId="71761C4D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A660" w14:textId="3358C6B3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dj. SuRi iz ev.pr.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042" w14:textId="397A1502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UniRi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94" w14:textId="5DDE7171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67.398</w:t>
            </w:r>
            <w:r w:rsidR="00634A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D7B" w14:textId="77B0B526" w:rsidR="00BE0294" w:rsidRDefault="00F8397F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58.435,27</w:t>
            </w:r>
          </w:p>
        </w:tc>
      </w:tr>
      <w:tr w:rsidR="00634A97" w14:paraId="22FDF0D5" w14:textId="693169D8" w:rsidTr="00F839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1841" w14:textId="28F4F55F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505B" w14:textId="43661395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6542" w14:textId="7B6DE37D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dj. SuRi iz ev.pr.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89A4" w14:textId="0080412B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MZOM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2B4D" w14:textId="784CDA52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1.000</w:t>
            </w:r>
            <w:r w:rsidR="00634A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C38" w14:textId="4C4EBBC7" w:rsidR="00BE0294" w:rsidRDefault="00F8397F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1.000,00</w:t>
            </w:r>
          </w:p>
        </w:tc>
      </w:tr>
      <w:tr w:rsidR="00634A97" w14:paraId="09FCE5BE" w14:textId="1C6277A3" w:rsidTr="00F839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D647" w14:textId="046D6329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0C6E" w14:textId="219179C3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9900" w14:textId="453358E1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Red. dj. SuRi iz ev.pr.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78F4" w14:textId="5EAC2D3A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HRZZ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E78" w14:textId="3B81B782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465.796</w:t>
            </w:r>
            <w:r w:rsidR="00634A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7326" w14:textId="15EBDE8F" w:rsidR="00BE0294" w:rsidRDefault="00F8397F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539.327,59</w:t>
            </w:r>
          </w:p>
        </w:tc>
      </w:tr>
      <w:tr w:rsidR="00634A97" w14:paraId="082519FB" w14:textId="77777777" w:rsidTr="00F839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EEEC" w14:textId="7A8F45C5" w:rsidR="00BE0294" w:rsidRDefault="00BE0294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0DF" w14:textId="57AB481E" w:rsidR="00BE0294" w:rsidRDefault="00634A97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C63" w14:textId="7271889A" w:rsidR="00BE0294" w:rsidRDefault="00634A97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EVERYONE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F7B" w14:textId="3C29F8CC" w:rsidR="00BE0294" w:rsidRDefault="00634A97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AMPEU Zg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066" w14:textId="00765AF4" w:rsidR="00BE0294" w:rsidRDefault="00634A97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48.000,00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2CF2" w14:textId="20BD1897" w:rsidR="00BE0294" w:rsidRPr="00F8397F" w:rsidRDefault="00E52145" w:rsidP="00BE029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39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48.000,00</w:t>
            </w:r>
          </w:p>
        </w:tc>
      </w:tr>
      <w:tr w:rsidR="00634A97" w14:paraId="774E56A9" w14:textId="77777777" w:rsidTr="00F839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361" w14:textId="4D26E6C6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EF85" w14:textId="57157B17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C65" w14:textId="46F19FE2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AI4Health.Cro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8AE" w14:textId="7DE6264D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IRB Zgb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AD3" w14:textId="1D1122F6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9.945,00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CB70" w14:textId="51472305" w:rsidR="00634A97" w:rsidRPr="00F8397F" w:rsidRDefault="0022621B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634A97" w:rsidRPr="00427B45" w14:paraId="207F78FE" w14:textId="42121E7E" w:rsidTr="00F839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4576" w14:textId="3BA5AA23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857B" w14:textId="0CEF33C6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958" w14:textId="5D6874FB" w:rsidR="00634A97" w:rsidRPr="00427B45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EuroCC2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2E81" w14:textId="7E1AFFAA" w:rsidR="00634A97" w:rsidRPr="00427B45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SRCE Zgb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0D63" w14:textId="70719B99" w:rsidR="00634A97" w:rsidRP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34A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45.087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AFA0" w14:textId="67C94455" w:rsidR="00634A97" w:rsidRPr="00F8397F" w:rsidRDefault="00F8397F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39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51.343,66</w:t>
            </w:r>
          </w:p>
        </w:tc>
      </w:tr>
      <w:tr w:rsidR="00634A97" w:rsidRPr="00427B45" w14:paraId="31938C2B" w14:textId="77777777" w:rsidTr="00F839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C15F" w14:textId="044A99FB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25DE" w14:textId="0EBAA455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CA6" w14:textId="19222090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NPOO BrainClock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DC39" w14:textId="181741B5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Medic.fak.Zgb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27DC" w14:textId="6DB5461E" w:rsidR="00634A97" w:rsidRP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34A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61.956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02C2" w14:textId="2840B2EA" w:rsidR="00634A97" w:rsidRPr="00F8397F" w:rsidRDefault="00E52145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39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61.956,15</w:t>
            </w:r>
          </w:p>
        </w:tc>
      </w:tr>
      <w:tr w:rsidR="00634A97" w:rsidRPr="00427B45" w14:paraId="2E260DE2" w14:textId="77777777" w:rsidTr="00F839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EDE3" w14:textId="6EF9902C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938" w14:textId="771CDE98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553" w14:textId="38A81F9D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WICT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BAB" w14:textId="389E361C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AMPEU Zg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A00" w14:textId="55096D42" w:rsidR="00634A97" w:rsidRP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47.463,00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6E03" w14:textId="1E01C37F" w:rsidR="00634A97" w:rsidRPr="00F8397F" w:rsidRDefault="0022621B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634A97" w:rsidRPr="00427B45" w14:paraId="5280FF0C" w14:textId="77777777" w:rsidTr="00F839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45BC" w14:textId="4240E3F6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0F44" w14:textId="1CBBAFA7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8F8" w14:textId="390FC2AE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Girls go STEM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1FEA" w14:textId="7C5786B1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PBF Zgb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01DC" w14:textId="564064A6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4.726,00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B6C" w14:textId="76111037" w:rsidR="00634A97" w:rsidRPr="00F8397F" w:rsidRDefault="00E52145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39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4.726,00</w:t>
            </w:r>
          </w:p>
        </w:tc>
      </w:tr>
      <w:tr w:rsidR="00634A97" w:rsidRPr="00F8397F" w14:paraId="7E0D6856" w14:textId="77777777" w:rsidTr="00F839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0CA9" w14:textId="031F766A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99B8" w14:textId="09152429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818" w14:textId="056ADA10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COST SNOOPY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CC" w14:textId="33A0915F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UniRi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046" w14:textId="00711479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210" w14:textId="1D40F269" w:rsidR="00634A97" w:rsidRPr="00F8397F" w:rsidRDefault="00E52145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39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6.000,00</w:t>
            </w:r>
          </w:p>
        </w:tc>
      </w:tr>
      <w:tr w:rsidR="00634A97" w:rsidRPr="00E76727" w14:paraId="11329AEA" w14:textId="77777777" w:rsidTr="00F839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26D4" w14:textId="04DB7693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A58" w14:textId="220745F7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47F5" w14:textId="050D7E20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Noć istraživača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2825" w14:textId="63380D07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UniRi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D861" w14:textId="65D4EE17" w:rsidR="00634A97" w:rsidRDefault="00634A9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252,00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B8E9" w14:textId="629A834A" w:rsidR="00634A97" w:rsidRPr="00E76727" w:rsidRDefault="00E76727" w:rsidP="00634A9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67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1.762,00</w:t>
            </w:r>
          </w:p>
        </w:tc>
      </w:tr>
      <w:tr w:rsidR="0022621B" w:rsidRPr="00E76727" w14:paraId="701D3568" w14:textId="77777777" w:rsidTr="00F839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2A30" w14:textId="77777777" w:rsidR="0022621B" w:rsidRDefault="0022621B" w:rsidP="002262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4723" w14:textId="77777777" w:rsidR="0022621B" w:rsidRDefault="0022621B" w:rsidP="002262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B912" w14:textId="2E6D8385" w:rsidR="0022621B" w:rsidRDefault="0022621B" w:rsidP="002262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27B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B996" w14:textId="64F5D56B" w:rsidR="0022621B" w:rsidRDefault="0022621B" w:rsidP="002262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55C" w14:textId="1A3E8CDD" w:rsidR="0022621B" w:rsidRDefault="0022621B" w:rsidP="0063618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63618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57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63618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623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63618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A68" w14:textId="6979CA2C" w:rsidR="0022621B" w:rsidRPr="002B3552" w:rsidRDefault="002B3552" w:rsidP="002262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B355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772.550,67</w:t>
            </w:r>
          </w:p>
        </w:tc>
      </w:tr>
    </w:tbl>
    <w:p w14:paraId="33AE5FF0" w14:textId="68543A25" w:rsidR="00301DB1" w:rsidRDefault="00141A03" w:rsidP="00126202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lastRenderedPageBreak/>
        <w:t>Skladno Uputi za izradu prijedloga financijskog plana razdjela 080-Ministarstva znanosti</w:t>
      </w:r>
      <w:r w:rsidR="002B3552">
        <w:rPr>
          <w:rFonts w:ascii="Times New Roman" w:hAnsi="Times New Roman" w:cs="Times New Roman"/>
          <w:sz w:val="24"/>
          <w:szCs w:val="24"/>
        </w:rPr>
        <w:t xml:space="preserve">, </w:t>
      </w:r>
      <w:r w:rsidR="00C2110E">
        <w:rPr>
          <w:rFonts w:ascii="Times New Roman" w:hAnsi="Times New Roman" w:cs="Times New Roman"/>
          <w:sz w:val="24"/>
          <w:szCs w:val="24"/>
        </w:rPr>
        <w:t xml:space="preserve">obrazovanja </w:t>
      </w:r>
      <w:r w:rsidR="002B3552">
        <w:rPr>
          <w:rFonts w:ascii="Times New Roman" w:hAnsi="Times New Roman" w:cs="Times New Roman"/>
          <w:sz w:val="24"/>
          <w:szCs w:val="24"/>
        </w:rPr>
        <w:t>i mladih,</w:t>
      </w:r>
      <w:r w:rsidRPr="00F427F4">
        <w:rPr>
          <w:rFonts w:ascii="Times New Roman" w:hAnsi="Times New Roman" w:cs="Times New Roman"/>
          <w:sz w:val="24"/>
          <w:szCs w:val="24"/>
        </w:rPr>
        <w:t xml:space="preserve"> fakultet je dobio pisane obavijesti partnera u provedbi projekata o iznosu planiranih prijenosa sredstava u okviru podskupine 369/639 temeljem kojih je planirao prihode izvora 52 na skupini 639.</w:t>
      </w:r>
    </w:p>
    <w:p w14:paraId="640CD5BF" w14:textId="71B25BED" w:rsidR="00E263DC" w:rsidRDefault="00E263DC" w:rsidP="00126202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427F4">
        <w:rPr>
          <w:rFonts w:ascii="Times New Roman" w:hAnsi="Times New Roman" w:cs="Times New Roman"/>
          <w:sz w:val="24"/>
          <w:szCs w:val="24"/>
        </w:rPr>
        <w:t xml:space="preserve">z istog izvora </w:t>
      </w:r>
      <w:r w:rsidR="00D9663A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52 - ostale pomoći </w:t>
      </w:r>
      <w:r>
        <w:rPr>
          <w:rFonts w:ascii="Times New Roman" w:hAnsi="Times New Roman" w:cs="Times New Roman"/>
          <w:sz w:val="24"/>
          <w:szCs w:val="24"/>
        </w:rPr>
        <w:t xml:space="preserve"> ostvarena je pomoć od izvanproračunskog korisnika državnog proračuna -</w:t>
      </w:r>
      <w:r w:rsidRPr="00F427F4">
        <w:rPr>
          <w:rFonts w:ascii="Times New Roman" w:hAnsi="Times New Roman" w:cs="Times New Roman"/>
          <w:sz w:val="24"/>
          <w:szCs w:val="24"/>
        </w:rPr>
        <w:t xml:space="preserve"> Fonda za zaštitu okoliša i energetsku učinkovitost na </w:t>
      </w:r>
      <w:r w:rsidRPr="00F427F4">
        <w:rPr>
          <w:rFonts w:ascii="Times New Roman" w:hAnsi="Times New Roman" w:cs="Times New Roman"/>
          <w:b/>
          <w:sz w:val="24"/>
          <w:szCs w:val="24"/>
        </w:rPr>
        <w:t>podskupini 634</w:t>
      </w:r>
      <w:r w:rsidRPr="00530D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7F4">
        <w:rPr>
          <w:rFonts w:ascii="Times New Roman" w:hAnsi="Times New Roman" w:cs="Times New Roman"/>
          <w:sz w:val="24"/>
          <w:szCs w:val="24"/>
        </w:rPr>
        <w:t>A679089-Redovna djelatnost Sveučilišta u Rijeci iz evidencijskih prihoda</w:t>
      </w:r>
      <w:r>
        <w:rPr>
          <w:rFonts w:ascii="Times New Roman" w:hAnsi="Times New Roman" w:cs="Times New Roman"/>
          <w:sz w:val="24"/>
          <w:szCs w:val="24"/>
        </w:rPr>
        <w:t>, za sufinanciranje projekta kako slijedi: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1299"/>
        <w:gridCol w:w="1742"/>
        <w:gridCol w:w="2301"/>
        <w:gridCol w:w="1497"/>
        <w:gridCol w:w="1421"/>
      </w:tblGrid>
      <w:tr w:rsidR="00E263DC" w14:paraId="148FE5F3" w14:textId="77777777" w:rsidTr="00D9663A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41F3" w14:textId="77777777" w:rsidR="00E263DC" w:rsidRDefault="00E263DC" w:rsidP="00D966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D01B" w14:textId="77777777" w:rsidR="00E263DC" w:rsidRDefault="00E263DC" w:rsidP="00D966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8AED" w14:textId="77777777" w:rsidR="00E263DC" w:rsidRDefault="00E263DC" w:rsidP="00D966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Davatelj prijenosa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8E40" w14:textId="77777777" w:rsidR="00E263DC" w:rsidRDefault="00E263DC" w:rsidP="00D966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EU projekta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F34E" w14:textId="395E1FCD" w:rsidR="00E263DC" w:rsidRDefault="00BE0294" w:rsidP="00D966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  <w:r w:rsidR="00E263DC"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F12C" w14:textId="2459E062" w:rsidR="00E263DC" w:rsidRDefault="00BE0294" w:rsidP="00D966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  <w:r w:rsidR="00E263DC"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</w:tr>
      <w:tr w:rsidR="00E263DC" w14:paraId="5C2FC6C3" w14:textId="77777777" w:rsidTr="00D9663A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6142" w14:textId="77777777" w:rsidR="00E263DC" w:rsidRDefault="00E263DC" w:rsidP="00D966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13D8" w14:textId="28244C3B" w:rsidR="00E263DC" w:rsidRDefault="00E263DC" w:rsidP="00D966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679089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A7A" w14:textId="5B1AD697" w:rsidR="00E263DC" w:rsidRDefault="00E263DC" w:rsidP="00D966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Fond za zaštitu okoliša i energ. učinkovitost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CF53" w14:textId="56252CD2" w:rsidR="00E263DC" w:rsidRDefault="00E263DC" w:rsidP="00E263D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Energetski park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774B" w14:textId="1EE8A8BC" w:rsidR="00E263DC" w:rsidRDefault="00BE0294" w:rsidP="00D966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156.262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77C7" w14:textId="247B1E7D" w:rsidR="00E263DC" w:rsidRDefault="00225368" w:rsidP="00D966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69.374,48</w:t>
            </w:r>
          </w:p>
        </w:tc>
      </w:tr>
    </w:tbl>
    <w:p w14:paraId="511C12BE" w14:textId="5A8BF969" w:rsidR="00C2110E" w:rsidRDefault="00C2110E" w:rsidP="00126202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215D15" w14:textId="21B4F5DC" w:rsidR="00D9663A" w:rsidRDefault="00E263DC" w:rsidP="00D9663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26202" w:rsidRPr="00F427F4">
        <w:rPr>
          <w:rFonts w:ascii="Times New Roman" w:hAnsi="Times New Roman" w:cs="Times New Roman"/>
          <w:b/>
          <w:sz w:val="24"/>
          <w:szCs w:val="24"/>
        </w:rPr>
        <w:t>.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="00D9663A" w:rsidRPr="00D9663A">
        <w:rPr>
          <w:rFonts w:ascii="Times New Roman" w:hAnsi="Times New Roman" w:cs="Times New Roman"/>
          <w:b/>
          <w:sz w:val="24"/>
          <w:szCs w:val="24"/>
        </w:rPr>
        <w:t xml:space="preserve">Izvor </w:t>
      </w:r>
      <w:r w:rsidR="00D9663A">
        <w:rPr>
          <w:rFonts w:ascii="Times New Roman" w:hAnsi="Times New Roman" w:cs="Times New Roman"/>
          <w:b/>
          <w:sz w:val="24"/>
          <w:szCs w:val="24"/>
        </w:rPr>
        <w:t>6</w:t>
      </w:r>
      <w:r w:rsidR="00D9663A" w:rsidRPr="00D9663A">
        <w:rPr>
          <w:rFonts w:ascii="Times New Roman" w:hAnsi="Times New Roman" w:cs="Times New Roman"/>
          <w:b/>
          <w:sz w:val="24"/>
          <w:szCs w:val="24"/>
        </w:rPr>
        <w:t>1 –</w:t>
      </w:r>
      <w:r w:rsidR="00D9663A">
        <w:rPr>
          <w:rFonts w:ascii="Times New Roman" w:hAnsi="Times New Roman" w:cs="Times New Roman"/>
          <w:b/>
          <w:sz w:val="24"/>
          <w:szCs w:val="24"/>
        </w:rPr>
        <w:t xml:space="preserve"> donacije</w:t>
      </w:r>
    </w:p>
    <w:p w14:paraId="469DFD6E" w14:textId="4092BFCF" w:rsidR="00285124" w:rsidRDefault="00126202" w:rsidP="002851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Fakultet je planirao i ostvarenje prihoda od donacija pravnih i fizičkih osoba izvan općeg proračuna na </w:t>
      </w:r>
      <w:r w:rsidRPr="00F427F4">
        <w:rPr>
          <w:rFonts w:ascii="Times New Roman" w:hAnsi="Times New Roman" w:cs="Times New Roman"/>
          <w:b/>
          <w:sz w:val="24"/>
          <w:szCs w:val="24"/>
        </w:rPr>
        <w:t>podskupini 663</w:t>
      </w:r>
      <w:r w:rsidRPr="00F427F4">
        <w:rPr>
          <w:rFonts w:ascii="Times New Roman" w:hAnsi="Times New Roman" w:cs="Times New Roman"/>
          <w:sz w:val="24"/>
          <w:szCs w:val="24"/>
        </w:rPr>
        <w:t xml:space="preserve">, iz izvora </w:t>
      </w:r>
      <w:r w:rsidRPr="00D9663A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61 – donacije</w:t>
      </w:r>
      <w:r w:rsidRPr="00F427F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27519">
        <w:rPr>
          <w:rFonts w:ascii="Times New Roman" w:hAnsi="Times New Roman" w:cs="Times New Roman"/>
          <w:sz w:val="24"/>
          <w:szCs w:val="24"/>
        </w:rPr>
        <w:t>U 2025</w:t>
      </w:r>
      <w:r w:rsidRPr="00F427F4">
        <w:rPr>
          <w:rFonts w:ascii="Times New Roman" w:hAnsi="Times New Roman" w:cs="Times New Roman"/>
          <w:sz w:val="24"/>
          <w:szCs w:val="24"/>
        </w:rPr>
        <w:t xml:space="preserve">. godini </w:t>
      </w:r>
      <w:r w:rsidR="00285124">
        <w:rPr>
          <w:rFonts w:ascii="Times New Roman" w:hAnsi="Times New Roman" w:cs="Times New Roman"/>
          <w:sz w:val="24"/>
          <w:szCs w:val="24"/>
        </w:rPr>
        <w:t xml:space="preserve">planirano je ostvarenje </w:t>
      </w:r>
      <w:r w:rsidRPr="00F427F4">
        <w:rPr>
          <w:rFonts w:ascii="Times New Roman" w:hAnsi="Times New Roman" w:cs="Times New Roman"/>
          <w:sz w:val="24"/>
          <w:szCs w:val="24"/>
        </w:rPr>
        <w:t>donacija</w:t>
      </w:r>
      <w:r w:rsidR="00285124">
        <w:rPr>
          <w:rFonts w:ascii="Times New Roman" w:hAnsi="Times New Roman" w:cs="Times New Roman"/>
          <w:sz w:val="24"/>
          <w:szCs w:val="24"/>
        </w:rPr>
        <w:t xml:space="preserve"> </w:t>
      </w:r>
      <w:r w:rsidR="00285124" w:rsidRPr="00F427F4">
        <w:rPr>
          <w:rFonts w:ascii="Times New Roman" w:hAnsi="Times New Roman" w:cs="Times New Roman"/>
          <w:sz w:val="24"/>
          <w:szCs w:val="24"/>
        </w:rPr>
        <w:t xml:space="preserve">od neprofitnih organizacija u iznosu </w:t>
      </w:r>
      <w:r w:rsidR="00327519">
        <w:rPr>
          <w:rFonts w:ascii="Times New Roman" w:hAnsi="Times New Roman" w:cs="Times New Roman"/>
          <w:sz w:val="24"/>
          <w:szCs w:val="24"/>
        </w:rPr>
        <w:t>8</w:t>
      </w:r>
      <w:r w:rsidR="00285124">
        <w:rPr>
          <w:rFonts w:ascii="Times New Roman" w:hAnsi="Times New Roman" w:cs="Times New Roman"/>
          <w:sz w:val="24"/>
          <w:szCs w:val="24"/>
        </w:rPr>
        <w:t>.0</w:t>
      </w:r>
      <w:r w:rsidR="00285124" w:rsidRPr="00F427F4">
        <w:rPr>
          <w:rFonts w:ascii="Times New Roman" w:hAnsi="Times New Roman" w:cs="Times New Roman"/>
          <w:sz w:val="24"/>
          <w:szCs w:val="24"/>
        </w:rPr>
        <w:t>00 eura, tekućih donacija od</w:t>
      </w:r>
      <w:r w:rsidR="00327519">
        <w:rPr>
          <w:rFonts w:ascii="Times New Roman" w:hAnsi="Times New Roman" w:cs="Times New Roman"/>
          <w:sz w:val="24"/>
          <w:szCs w:val="24"/>
        </w:rPr>
        <w:t xml:space="preserve"> trgovačkih društava u iznosu 17</w:t>
      </w:r>
      <w:r w:rsidR="00285124" w:rsidRPr="00F427F4">
        <w:rPr>
          <w:rFonts w:ascii="Times New Roman" w:hAnsi="Times New Roman" w:cs="Times New Roman"/>
          <w:sz w:val="24"/>
          <w:szCs w:val="24"/>
        </w:rPr>
        <w:t>.000 eura i kapitalnih donacija od trgovačkih društava u iznosu 10.000 eura</w:t>
      </w:r>
      <w:r w:rsidR="00285124">
        <w:rPr>
          <w:rFonts w:ascii="Times New Roman" w:hAnsi="Times New Roman" w:cs="Times New Roman"/>
          <w:sz w:val="24"/>
          <w:szCs w:val="24"/>
        </w:rPr>
        <w:t>,</w:t>
      </w:r>
      <w:r w:rsidR="00285124"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="00327519">
        <w:rPr>
          <w:rFonts w:ascii="Times New Roman" w:hAnsi="Times New Roman" w:cs="Times New Roman"/>
          <w:sz w:val="24"/>
          <w:szCs w:val="24"/>
        </w:rPr>
        <w:t>što sveukupno iznosi 35</w:t>
      </w:r>
      <w:r w:rsidR="00285124">
        <w:rPr>
          <w:rFonts w:ascii="Times New Roman" w:hAnsi="Times New Roman" w:cs="Times New Roman"/>
          <w:sz w:val="24"/>
          <w:szCs w:val="24"/>
        </w:rPr>
        <w:t xml:space="preserve">.000,00 eura </w:t>
      </w:r>
      <w:r w:rsidR="00285124" w:rsidRPr="00F427F4">
        <w:rPr>
          <w:rFonts w:ascii="Times New Roman" w:hAnsi="Times New Roman" w:cs="Times New Roman"/>
          <w:sz w:val="24"/>
          <w:szCs w:val="24"/>
        </w:rPr>
        <w:t xml:space="preserve">za aktivnost A679089 (Redovna djelatnost Sveučilišta u Rijeci iz evidencijskih prihoda).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233"/>
        <w:gridCol w:w="2355"/>
        <w:gridCol w:w="1765"/>
        <w:gridCol w:w="1746"/>
        <w:gridCol w:w="1018"/>
      </w:tblGrid>
      <w:tr w:rsidR="00285124" w:rsidRPr="00F427F4" w14:paraId="0CE7D841" w14:textId="77777777" w:rsidTr="00914CA8">
        <w:tc>
          <w:tcPr>
            <w:tcW w:w="1376" w:type="dxa"/>
            <w:shd w:val="clear" w:color="auto" w:fill="auto"/>
          </w:tcPr>
          <w:p w14:paraId="64A14DC7" w14:textId="77777777" w:rsidR="00285124" w:rsidRPr="00F427F4" w:rsidRDefault="00285124" w:rsidP="00914C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1233" w:type="dxa"/>
          </w:tcPr>
          <w:p w14:paraId="1B31BFCF" w14:textId="77777777" w:rsidR="00285124" w:rsidRPr="00F427F4" w:rsidRDefault="00285124" w:rsidP="00914C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355" w:type="dxa"/>
            <w:shd w:val="clear" w:color="auto" w:fill="auto"/>
          </w:tcPr>
          <w:p w14:paraId="5E982CFB" w14:textId="77777777" w:rsidR="00285124" w:rsidRPr="00F427F4" w:rsidRDefault="00285124" w:rsidP="00914C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1765" w:type="dxa"/>
          </w:tcPr>
          <w:p w14:paraId="0F028FA6" w14:textId="14724614" w:rsidR="00285124" w:rsidRPr="00F427F4" w:rsidRDefault="00327519" w:rsidP="00914C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  <w:r w:rsidR="00285124"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746" w:type="dxa"/>
            <w:shd w:val="clear" w:color="auto" w:fill="auto"/>
          </w:tcPr>
          <w:p w14:paraId="704D8D72" w14:textId="0493430E" w:rsidR="00285124" w:rsidRPr="00F427F4" w:rsidRDefault="00327519" w:rsidP="00914C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  <w:r w:rsidR="00285124"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  <w:tc>
          <w:tcPr>
            <w:tcW w:w="1018" w:type="dxa"/>
            <w:shd w:val="clear" w:color="auto" w:fill="auto"/>
          </w:tcPr>
          <w:p w14:paraId="6A384CD1" w14:textId="77777777" w:rsidR="00285124" w:rsidRPr="00F427F4" w:rsidRDefault="00285124" w:rsidP="00914C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</w:tr>
      <w:tr w:rsidR="00285124" w:rsidRPr="00F427F4" w14:paraId="3711A791" w14:textId="77777777" w:rsidTr="00914CA8">
        <w:tc>
          <w:tcPr>
            <w:tcW w:w="1376" w:type="dxa"/>
            <w:shd w:val="clear" w:color="auto" w:fill="auto"/>
          </w:tcPr>
          <w:p w14:paraId="355FDF6D" w14:textId="0A1DF3B3" w:rsidR="00285124" w:rsidRPr="00F427F4" w:rsidRDefault="00285124" w:rsidP="002851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33" w:type="dxa"/>
          </w:tcPr>
          <w:p w14:paraId="3A0B19B6" w14:textId="77777777" w:rsidR="00285124" w:rsidRPr="00F427F4" w:rsidRDefault="00285124" w:rsidP="00914C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679089</w:t>
            </w:r>
          </w:p>
        </w:tc>
        <w:tc>
          <w:tcPr>
            <w:tcW w:w="2355" w:type="dxa"/>
            <w:shd w:val="clear" w:color="auto" w:fill="auto"/>
          </w:tcPr>
          <w:p w14:paraId="56E62F09" w14:textId="77777777" w:rsidR="00285124" w:rsidRPr="00F427F4" w:rsidRDefault="00285124" w:rsidP="00914C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Red. djelatnost SuRi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(iz evid. prihoda)</w:t>
            </w:r>
          </w:p>
        </w:tc>
        <w:tc>
          <w:tcPr>
            <w:tcW w:w="1765" w:type="dxa"/>
          </w:tcPr>
          <w:p w14:paraId="57A756E4" w14:textId="674DE626" w:rsidR="00285124" w:rsidRPr="00F427F4" w:rsidRDefault="00327519" w:rsidP="00914C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85124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746" w:type="dxa"/>
            <w:shd w:val="clear" w:color="auto" w:fill="auto"/>
          </w:tcPr>
          <w:p w14:paraId="49BD54E0" w14:textId="5F05E3FA" w:rsidR="00961EE2" w:rsidRPr="00F427F4" w:rsidRDefault="00961EE2" w:rsidP="00961E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16.041,15</w:t>
            </w:r>
          </w:p>
        </w:tc>
        <w:tc>
          <w:tcPr>
            <w:tcW w:w="1018" w:type="dxa"/>
            <w:shd w:val="clear" w:color="auto" w:fill="auto"/>
          </w:tcPr>
          <w:p w14:paraId="7F6DEC5D" w14:textId="21F88D11" w:rsidR="00285124" w:rsidRPr="00F427F4" w:rsidRDefault="002E05B4" w:rsidP="00914C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14:paraId="20F7FA56" w14:textId="77777777" w:rsidR="00285124" w:rsidRDefault="00285124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38B4B" w14:textId="750269B9" w:rsidR="00126202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>Nadalje, planirani su i prihodi za EU projekte (A679072-EU projekti Sveučilišta u Rijeci iz evidencijskih prihoda), kako slijedi: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3471"/>
        <w:gridCol w:w="1701"/>
        <w:gridCol w:w="1842"/>
      </w:tblGrid>
      <w:tr w:rsidR="00474A18" w14:paraId="257082E3" w14:textId="77777777" w:rsidTr="00914CA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0872" w14:textId="77777777" w:rsidR="00474A18" w:rsidRDefault="00474A18" w:rsidP="00914CA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CBB7" w14:textId="77777777" w:rsidR="00474A18" w:rsidRDefault="00474A18" w:rsidP="00914CA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FE33" w14:textId="77777777" w:rsidR="00474A18" w:rsidRDefault="00474A18" w:rsidP="00914CA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EU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D8BF" w14:textId="36DF07FE" w:rsidR="00474A18" w:rsidRDefault="00474A18" w:rsidP="00914CA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Rebalans 20</w:t>
            </w:r>
            <w:r w:rsidR="002E05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F8B8" w14:textId="6866B031" w:rsidR="00474A18" w:rsidRDefault="002E05B4" w:rsidP="00914CA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  <w:r w:rsidR="00474A18"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</w:tr>
      <w:tr w:rsidR="00474A18" w14:paraId="189729A2" w14:textId="77777777" w:rsidTr="00474A1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0259" w14:textId="75BA2ABE" w:rsidR="00474A18" w:rsidRDefault="00474A18" w:rsidP="00914CA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FFE6" w14:textId="77777777" w:rsidR="00474A18" w:rsidRDefault="00474A18" w:rsidP="00914CA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627" w14:textId="598D1E58" w:rsidR="00474A18" w:rsidRPr="002E05B4" w:rsidRDefault="002E05B4" w:rsidP="002E05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BEYOND Interreg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9B7" w14:textId="7EFBA688" w:rsidR="00474A18" w:rsidRDefault="002E05B4" w:rsidP="00914CA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70.00</w:t>
            </w:r>
            <w:r w:rsidR="00474A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0942" w14:textId="626C0226" w:rsidR="00474A18" w:rsidRDefault="00533C7D" w:rsidP="00914CA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105.984,27</w:t>
            </w:r>
          </w:p>
        </w:tc>
      </w:tr>
      <w:tr w:rsidR="00474A18" w14:paraId="0A1A9B77" w14:textId="77777777" w:rsidTr="00474A1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DAAE" w14:textId="25E32AB3" w:rsidR="00474A18" w:rsidRDefault="00474A18" w:rsidP="00914CA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3334" w14:textId="77777777" w:rsidR="00474A18" w:rsidRDefault="00474A18" w:rsidP="00914CA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449C" w14:textId="1E87C49D" w:rsidR="00474A18" w:rsidRPr="002E05B4" w:rsidRDefault="002E05B4" w:rsidP="002E05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SPIN HEYGUEST ISLAND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BBF" w14:textId="58CB4096" w:rsidR="00474A18" w:rsidRDefault="002E05B4" w:rsidP="00914CA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8.100</w:t>
            </w:r>
            <w:r w:rsidR="00474A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2546" w14:textId="1C61AE28" w:rsidR="00474A18" w:rsidRDefault="00533C7D" w:rsidP="00914CA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8.076,54</w:t>
            </w:r>
          </w:p>
        </w:tc>
      </w:tr>
      <w:tr w:rsidR="002E05B4" w14:paraId="5C6CE0A0" w14:textId="77777777" w:rsidTr="00474A1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2DF" w14:textId="4470996D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E38" w14:textId="2B266986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F93" w14:textId="57B3B663" w:rsidR="002E05B4" w:rsidRDefault="002E05B4" w:rsidP="002E05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SMART-HOTEL 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F450" w14:textId="201A1EF7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57.000,00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68EC" w14:textId="1D9F94F1" w:rsidR="002E05B4" w:rsidRDefault="00533C7D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55.763,68</w:t>
            </w:r>
          </w:p>
        </w:tc>
      </w:tr>
      <w:tr w:rsidR="002E05B4" w14:paraId="7088CA9E" w14:textId="77777777" w:rsidTr="00474A1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DE13" w14:textId="47781F22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616F" w14:textId="77777777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3B2" w14:textId="4681D992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SPIN PBMSense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B5F" w14:textId="141267CF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BED4" w14:textId="633AE724" w:rsidR="002E05B4" w:rsidRDefault="00533C7D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11.383,62</w:t>
            </w:r>
          </w:p>
        </w:tc>
      </w:tr>
      <w:tr w:rsidR="002E05B4" w14:paraId="73E5CECF" w14:textId="77777777" w:rsidTr="00474A1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3A2" w14:textId="67D127A9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0273" w14:textId="270EBD84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E340" w14:textId="1AD86C1E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SPIN EcoCruise9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D030" w14:textId="61AC1364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18.750,00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9548" w14:textId="6206F732" w:rsidR="002E05B4" w:rsidRDefault="00533C7D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2.745,05</w:t>
            </w:r>
          </w:p>
        </w:tc>
      </w:tr>
      <w:tr w:rsidR="00533C7D" w14:paraId="03482297" w14:textId="77777777" w:rsidTr="00474A1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2A21" w14:textId="440EE9EA" w:rsidR="00533C7D" w:rsidRDefault="00533C7D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1E3C" w14:textId="7DAF2E6E" w:rsidR="00533C7D" w:rsidRDefault="00533C7D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35D" w14:textId="7044FC06" w:rsidR="00533C7D" w:rsidRDefault="00533C7D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NARASTEM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263" w14:textId="053299CF" w:rsidR="00533C7D" w:rsidRDefault="00533C7D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D26" w14:textId="1D4E0784" w:rsidR="00533C7D" w:rsidRDefault="00533C7D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10.000,00</w:t>
            </w:r>
          </w:p>
        </w:tc>
      </w:tr>
      <w:tr w:rsidR="002E05B4" w14:paraId="0A983C29" w14:textId="77777777" w:rsidTr="00474A1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7629" w14:textId="77777777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CEF2" w14:textId="77777777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1C3" w14:textId="26174CA1" w:rsidR="002E05B4" w:rsidRDefault="002E05B4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27B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C99" w14:textId="6A52DDB2" w:rsidR="002E05B4" w:rsidRPr="00474A18" w:rsidRDefault="00533C7D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18</w:t>
            </w:r>
            <w:r w:rsidR="002E05B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6.150</w:t>
            </w:r>
            <w:r w:rsidR="002E05B4" w:rsidRPr="00474A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609" w14:textId="1C513CC1" w:rsidR="002E05B4" w:rsidRPr="00474A18" w:rsidRDefault="00533C7D" w:rsidP="002E05B4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193.953,16</w:t>
            </w:r>
          </w:p>
        </w:tc>
      </w:tr>
    </w:tbl>
    <w:p w14:paraId="0371AF1C" w14:textId="77777777" w:rsidR="00377052" w:rsidRDefault="00377052" w:rsidP="001262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E1328" w14:textId="2DF0A188" w:rsidR="00126202" w:rsidRPr="00F427F4" w:rsidRDefault="00126202" w:rsidP="001262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7F4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24D19D94" w14:textId="77777777" w:rsidR="00126202" w:rsidRPr="00F427F4" w:rsidRDefault="00126202" w:rsidP="001262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70B83" w14:textId="576A7380" w:rsidR="00126202" w:rsidRPr="00F427F4" w:rsidRDefault="00126202" w:rsidP="0012620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Tehnički fakultet Rijeka u </w:t>
      </w:r>
      <w:r w:rsidR="00B06F37">
        <w:rPr>
          <w:rFonts w:ascii="Times New Roman" w:hAnsi="Times New Roman" w:cs="Times New Roman"/>
          <w:sz w:val="24"/>
          <w:szCs w:val="24"/>
        </w:rPr>
        <w:t>202</w:t>
      </w:r>
      <w:r w:rsidR="00377052">
        <w:rPr>
          <w:rFonts w:ascii="Times New Roman" w:hAnsi="Times New Roman" w:cs="Times New Roman"/>
          <w:sz w:val="24"/>
          <w:szCs w:val="24"/>
        </w:rPr>
        <w:t>5</w:t>
      </w:r>
      <w:r w:rsidRPr="00F427F4">
        <w:rPr>
          <w:rFonts w:ascii="Times New Roman" w:hAnsi="Times New Roman" w:cs="Times New Roman"/>
          <w:sz w:val="24"/>
          <w:szCs w:val="24"/>
        </w:rPr>
        <w:t>. godini planirao je ukupne rashode u iznosu</w:t>
      </w:r>
      <w:r w:rsidR="00377052">
        <w:rPr>
          <w:rFonts w:ascii="Times New Roman" w:hAnsi="Times New Roman" w:cs="Times New Roman"/>
          <w:sz w:val="24"/>
          <w:szCs w:val="24"/>
        </w:rPr>
        <w:t xml:space="preserve"> 11.725.599,00</w:t>
      </w:r>
      <w:r w:rsidRPr="00F427F4">
        <w:rPr>
          <w:rFonts w:ascii="Times New Roman" w:hAnsi="Times New Roman" w:cs="Times New Roman"/>
          <w:sz w:val="24"/>
          <w:szCs w:val="24"/>
        </w:rPr>
        <w:t xml:space="preserve"> eura, a i</w:t>
      </w:r>
      <w:r w:rsidR="00377052">
        <w:rPr>
          <w:rFonts w:ascii="Times New Roman" w:hAnsi="Times New Roman" w:cs="Times New Roman"/>
          <w:sz w:val="24"/>
          <w:szCs w:val="24"/>
        </w:rPr>
        <w:t>zvršenje u razdoblju I.-XII.2025</w:t>
      </w:r>
      <w:r w:rsidRPr="00F427F4">
        <w:rPr>
          <w:rFonts w:ascii="Times New Roman" w:hAnsi="Times New Roman" w:cs="Times New Roman"/>
          <w:sz w:val="24"/>
          <w:szCs w:val="24"/>
        </w:rPr>
        <w:t xml:space="preserve">. iznosi </w:t>
      </w:r>
      <w:r w:rsidR="00377052">
        <w:rPr>
          <w:rFonts w:ascii="Times New Roman" w:hAnsi="Times New Roman" w:cs="Times New Roman"/>
          <w:sz w:val="24"/>
          <w:szCs w:val="24"/>
        </w:rPr>
        <w:t>11</w:t>
      </w:r>
      <w:r w:rsidR="00377052" w:rsidRPr="00F427F4">
        <w:rPr>
          <w:rFonts w:ascii="Times New Roman" w:hAnsi="Times New Roman" w:cs="Times New Roman"/>
          <w:sz w:val="24"/>
          <w:szCs w:val="24"/>
        </w:rPr>
        <w:t>.</w:t>
      </w:r>
      <w:r w:rsidR="00377052">
        <w:rPr>
          <w:rFonts w:ascii="Times New Roman" w:hAnsi="Times New Roman" w:cs="Times New Roman"/>
          <w:sz w:val="24"/>
          <w:szCs w:val="24"/>
        </w:rPr>
        <w:t>060</w:t>
      </w:r>
      <w:r w:rsidR="00377052" w:rsidRPr="00F427F4">
        <w:rPr>
          <w:rFonts w:ascii="Times New Roman" w:hAnsi="Times New Roman" w:cs="Times New Roman"/>
          <w:sz w:val="24"/>
          <w:szCs w:val="24"/>
        </w:rPr>
        <w:t>.</w:t>
      </w:r>
      <w:r w:rsidR="00377052">
        <w:rPr>
          <w:rFonts w:ascii="Times New Roman" w:hAnsi="Times New Roman" w:cs="Times New Roman"/>
          <w:sz w:val="24"/>
          <w:szCs w:val="24"/>
        </w:rPr>
        <w:t>043</w:t>
      </w:r>
      <w:r w:rsidR="00377052">
        <w:rPr>
          <w:rFonts w:ascii="Times New Roman" w:hAnsi="Times New Roman" w:cs="Times New Roman"/>
          <w:sz w:val="24"/>
          <w:szCs w:val="24"/>
        </w:rPr>
        <w:t>,71</w:t>
      </w:r>
      <w:r w:rsidR="00377052"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="002F5131">
        <w:rPr>
          <w:rFonts w:ascii="Times New Roman" w:hAnsi="Times New Roman" w:cs="Times New Roman"/>
          <w:sz w:val="24"/>
          <w:szCs w:val="24"/>
        </w:rPr>
        <w:t xml:space="preserve">eur odnosno </w:t>
      </w:r>
      <w:r w:rsidR="00377052">
        <w:rPr>
          <w:rFonts w:ascii="Times New Roman" w:hAnsi="Times New Roman" w:cs="Times New Roman"/>
          <w:sz w:val="24"/>
          <w:szCs w:val="24"/>
        </w:rPr>
        <w:t>94</w:t>
      </w:r>
      <w:r w:rsidRPr="00F427F4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75A164C6" w14:textId="6611A40C" w:rsidR="00126202" w:rsidRPr="00F427F4" w:rsidRDefault="00126202" w:rsidP="0012620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5131">
        <w:rPr>
          <w:rFonts w:ascii="Times New Roman" w:hAnsi="Times New Roman" w:cs="Times New Roman"/>
          <w:sz w:val="24"/>
          <w:szCs w:val="24"/>
        </w:rPr>
        <w:t>Financijsko poslovanje Tehničkog fakulteta u Rijeci u 202</w:t>
      </w:r>
      <w:r w:rsidR="00377052">
        <w:rPr>
          <w:rFonts w:ascii="Times New Roman" w:hAnsi="Times New Roman" w:cs="Times New Roman"/>
          <w:sz w:val="24"/>
          <w:szCs w:val="24"/>
        </w:rPr>
        <w:t>5</w:t>
      </w:r>
      <w:r w:rsidRPr="002F5131">
        <w:rPr>
          <w:rFonts w:ascii="Times New Roman" w:hAnsi="Times New Roman" w:cs="Times New Roman"/>
          <w:sz w:val="24"/>
          <w:szCs w:val="24"/>
        </w:rPr>
        <w:t>. godini planiralo se odvijati kroz sljedeće aktivnosti:</w:t>
      </w:r>
    </w:p>
    <w:p w14:paraId="4BA3E502" w14:textId="01AACE8F" w:rsidR="00126202" w:rsidRPr="00F427F4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427F4">
        <w:rPr>
          <w:rFonts w:ascii="Times New Roman" w:hAnsi="Times New Roman" w:cs="Times New Roman"/>
          <w:sz w:val="24"/>
          <w:szCs w:val="24"/>
        </w:rPr>
        <w:t>Aktivnost 621002 – Redovna djelatnost Sveučilišta u Rijeci, planiran</w:t>
      </w:r>
      <w:r w:rsidR="00C10B49">
        <w:rPr>
          <w:rFonts w:ascii="Times New Roman" w:hAnsi="Times New Roman" w:cs="Times New Roman"/>
          <w:sz w:val="24"/>
          <w:szCs w:val="24"/>
        </w:rPr>
        <w:t>i r</w:t>
      </w:r>
      <w:r w:rsidR="00377052">
        <w:rPr>
          <w:rFonts w:ascii="Times New Roman" w:hAnsi="Times New Roman" w:cs="Times New Roman"/>
          <w:sz w:val="24"/>
          <w:szCs w:val="24"/>
        </w:rPr>
        <w:t>ashodi u limitu iznose 8.138.264</w:t>
      </w:r>
      <w:r w:rsidR="00C10B49">
        <w:rPr>
          <w:rFonts w:ascii="Times New Roman" w:hAnsi="Times New Roman" w:cs="Times New Roman"/>
          <w:sz w:val="24"/>
          <w:szCs w:val="24"/>
        </w:rPr>
        <w:t>,</w:t>
      </w:r>
      <w:r w:rsidR="00377052">
        <w:rPr>
          <w:rFonts w:ascii="Times New Roman" w:hAnsi="Times New Roman" w:cs="Times New Roman"/>
          <w:sz w:val="24"/>
          <w:szCs w:val="24"/>
        </w:rPr>
        <w:t>00 eura, dok je izvršenje u 2025</w:t>
      </w:r>
      <w:r w:rsidR="00C10B49">
        <w:rPr>
          <w:rFonts w:ascii="Times New Roman" w:hAnsi="Times New Roman" w:cs="Times New Roman"/>
          <w:sz w:val="24"/>
          <w:szCs w:val="24"/>
        </w:rPr>
        <w:t xml:space="preserve">. godini </w:t>
      </w:r>
      <w:r w:rsidR="00377052">
        <w:rPr>
          <w:rFonts w:ascii="Times New Roman" w:hAnsi="Times New Roman" w:cs="Times New Roman"/>
          <w:sz w:val="24"/>
          <w:szCs w:val="24"/>
        </w:rPr>
        <w:t>99,58</w:t>
      </w:r>
      <w:r w:rsidR="00914CA8">
        <w:rPr>
          <w:rFonts w:ascii="Times New Roman" w:hAnsi="Times New Roman" w:cs="Times New Roman"/>
          <w:sz w:val="24"/>
          <w:szCs w:val="24"/>
        </w:rPr>
        <w:t xml:space="preserve">%, odnosno </w:t>
      </w:r>
      <w:r w:rsidR="00377052">
        <w:rPr>
          <w:rFonts w:ascii="Times New Roman" w:hAnsi="Times New Roman" w:cs="Times New Roman"/>
          <w:sz w:val="24"/>
          <w:szCs w:val="24"/>
        </w:rPr>
        <w:t>8.104.062,37</w:t>
      </w:r>
      <w:r w:rsidR="008712FF">
        <w:rPr>
          <w:rFonts w:ascii="Times New Roman" w:hAnsi="Times New Roman" w:cs="Times New Roman"/>
          <w:sz w:val="24"/>
          <w:szCs w:val="24"/>
        </w:rPr>
        <w:t xml:space="preserve"> eur</w:t>
      </w:r>
      <w:r w:rsidRPr="00F427F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9558E9" w14:textId="1B30A1D2" w:rsidR="00126202" w:rsidRPr="00F427F4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427F4">
        <w:rPr>
          <w:rFonts w:ascii="Times New Roman" w:hAnsi="Times New Roman" w:cs="Times New Roman"/>
          <w:sz w:val="24"/>
          <w:szCs w:val="24"/>
        </w:rPr>
        <w:t xml:space="preserve">Aktivnost 622122 – Programsko financiranje javnih visokih učilišta, planirani rashodi u limitu iznose </w:t>
      </w:r>
      <w:r w:rsidR="00377052">
        <w:rPr>
          <w:rFonts w:ascii="Times New Roman" w:hAnsi="Times New Roman" w:cs="Times New Roman"/>
          <w:sz w:val="24"/>
          <w:szCs w:val="24"/>
        </w:rPr>
        <w:t>714.243,00 eura, a izvršenje za 2025. iznosi 553.879,22</w:t>
      </w:r>
      <w:r w:rsidRPr="00F427F4">
        <w:rPr>
          <w:rFonts w:ascii="Times New Roman" w:hAnsi="Times New Roman" w:cs="Times New Roman"/>
          <w:sz w:val="24"/>
          <w:szCs w:val="24"/>
        </w:rPr>
        <w:t xml:space="preserve"> eur</w:t>
      </w:r>
      <w:r w:rsidR="00E647BB">
        <w:rPr>
          <w:rFonts w:ascii="Times New Roman" w:hAnsi="Times New Roman" w:cs="Times New Roman"/>
          <w:sz w:val="24"/>
          <w:szCs w:val="24"/>
        </w:rPr>
        <w:t>, odnosno</w:t>
      </w:r>
      <w:r w:rsidR="00377052">
        <w:rPr>
          <w:rFonts w:ascii="Times New Roman" w:hAnsi="Times New Roman" w:cs="Times New Roman"/>
          <w:sz w:val="24"/>
          <w:szCs w:val="24"/>
        </w:rPr>
        <w:t xml:space="preserve"> 77,55</w:t>
      </w:r>
      <w:r w:rsidR="00914CA8">
        <w:rPr>
          <w:rFonts w:ascii="Times New Roman" w:hAnsi="Times New Roman" w:cs="Times New Roman"/>
          <w:sz w:val="24"/>
          <w:szCs w:val="24"/>
        </w:rPr>
        <w:t xml:space="preserve">% </w:t>
      </w:r>
      <w:r w:rsidRPr="00F427F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DECCC0" w14:textId="31D50303" w:rsidR="00126202" w:rsidRPr="00F427F4" w:rsidRDefault="0037705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26202" w:rsidRPr="00F427F4">
        <w:rPr>
          <w:rFonts w:ascii="Times New Roman" w:hAnsi="Times New Roman" w:cs="Times New Roman"/>
          <w:b/>
          <w:sz w:val="24"/>
          <w:szCs w:val="24"/>
        </w:rPr>
        <w:t>.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Aktivnost 621183 – Stipendije i školarine za doktorski studij, planirani rashodi iznose </w:t>
      </w:r>
      <w:r>
        <w:rPr>
          <w:rFonts w:ascii="Times New Roman" w:hAnsi="Times New Roman" w:cs="Times New Roman"/>
          <w:sz w:val="24"/>
          <w:szCs w:val="24"/>
        </w:rPr>
        <w:t>2.156,00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eura, izvršenje za razd</w:t>
      </w:r>
      <w:r w:rsidR="00E647BB">
        <w:rPr>
          <w:rFonts w:ascii="Times New Roman" w:hAnsi="Times New Roman" w:cs="Times New Roman"/>
          <w:sz w:val="24"/>
          <w:szCs w:val="24"/>
        </w:rPr>
        <w:t>oblje I.-XII.202</w:t>
      </w:r>
      <w:r>
        <w:rPr>
          <w:rFonts w:ascii="Times New Roman" w:hAnsi="Times New Roman" w:cs="Times New Roman"/>
          <w:sz w:val="24"/>
          <w:szCs w:val="24"/>
        </w:rPr>
        <w:t>5. iznosi 2</w:t>
      </w:r>
      <w:r w:rsidR="00E647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156</w:t>
      </w:r>
      <w:r w:rsidR="00E647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34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eur</w:t>
      </w:r>
      <w:r w:rsidR="00143C56">
        <w:rPr>
          <w:rFonts w:ascii="Times New Roman" w:hAnsi="Times New Roman" w:cs="Times New Roman"/>
          <w:sz w:val="24"/>
          <w:szCs w:val="24"/>
        </w:rPr>
        <w:t>, odnosno 100%</w:t>
      </w:r>
      <w:r w:rsidR="00126202" w:rsidRPr="00F427F4">
        <w:rPr>
          <w:rFonts w:ascii="Times New Roman" w:hAnsi="Times New Roman" w:cs="Times New Roman"/>
          <w:sz w:val="24"/>
          <w:szCs w:val="24"/>
        </w:rPr>
        <w:t>;</w:t>
      </w:r>
    </w:p>
    <w:p w14:paraId="4661DD15" w14:textId="29580B9B" w:rsidR="00126202" w:rsidRDefault="0037705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26202" w:rsidRPr="00F427F4">
        <w:rPr>
          <w:rFonts w:ascii="Times New Roman" w:hAnsi="Times New Roman" w:cs="Times New Roman"/>
          <w:b/>
          <w:sz w:val="24"/>
          <w:szCs w:val="24"/>
        </w:rPr>
        <w:t>.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Aktivnost 679089 – Redovna djelatnost Sveučilišta u Rijeci – iz evidencijskih p</w:t>
      </w:r>
      <w:r w:rsidR="00914CA8">
        <w:rPr>
          <w:rFonts w:ascii="Times New Roman" w:hAnsi="Times New Roman" w:cs="Times New Roman"/>
          <w:sz w:val="24"/>
          <w:szCs w:val="24"/>
        </w:rPr>
        <w:t>rihoda, planirani rashodi u 202</w:t>
      </w:r>
      <w:r>
        <w:rPr>
          <w:rFonts w:ascii="Times New Roman" w:hAnsi="Times New Roman" w:cs="Times New Roman"/>
          <w:sz w:val="24"/>
          <w:szCs w:val="24"/>
        </w:rPr>
        <w:t>5. godini iznose 2.398.836</w:t>
      </w:r>
      <w:r w:rsidR="00914CA8">
        <w:rPr>
          <w:rFonts w:ascii="Times New Roman" w:hAnsi="Times New Roman" w:cs="Times New Roman"/>
          <w:sz w:val="24"/>
          <w:szCs w:val="24"/>
        </w:rPr>
        <w:t>,00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eura, iz</w:t>
      </w:r>
      <w:r>
        <w:rPr>
          <w:rFonts w:ascii="Times New Roman" w:hAnsi="Times New Roman" w:cs="Times New Roman"/>
          <w:sz w:val="24"/>
          <w:szCs w:val="24"/>
        </w:rPr>
        <w:t>vršenje za razdoblje I.-XII.2025</w:t>
      </w:r>
      <w:r w:rsidR="00914CA8">
        <w:rPr>
          <w:rFonts w:ascii="Times New Roman" w:hAnsi="Times New Roman" w:cs="Times New Roman"/>
          <w:sz w:val="24"/>
          <w:szCs w:val="24"/>
        </w:rPr>
        <w:t xml:space="preserve">. iznosi </w:t>
      </w:r>
      <w:r>
        <w:rPr>
          <w:rFonts w:ascii="Times New Roman" w:hAnsi="Times New Roman" w:cs="Times New Roman"/>
          <w:sz w:val="24"/>
          <w:szCs w:val="24"/>
        </w:rPr>
        <w:t>1.848.386,88</w:t>
      </w:r>
      <w:r w:rsidR="009F2496">
        <w:rPr>
          <w:rFonts w:ascii="Times New Roman" w:hAnsi="Times New Roman" w:cs="Times New Roman"/>
          <w:sz w:val="24"/>
          <w:szCs w:val="24"/>
        </w:rPr>
        <w:t xml:space="preserve"> eur, odnosno 77,05</w:t>
      </w:r>
      <w:r w:rsidR="00914CA8">
        <w:rPr>
          <w:rFonts w:ascii="Times New Roman" w:hAnsi="Times New Roman" w:cs="Times New Roman"/>
          <w:sz w:val="24"/>
          <w:szCs w:val="24"/>
        </w:rPr>
        <w:t>% u odnosu na plan</w:t>
      </w:r>
      <w:r w:rsidR="00126202" w:rsidRPr="00F427F4">
        <w:rPr>
          <w:rFonts w:ascii="Times New Roman" w:hAnsi="Times New Roman" w:cs="Times New Roman"/>
          <w:sz w:val="24"/>
          <w:szCs w:val="24"/>
        </w:rPr>
        <w:t>;</w:t>
      </w:r>
    </w:p>
    <w:p w14:paraId="5137D976" w14:textId="398482C5" w:rsidR="000A001B" w:rsidRDefault="0037705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A001B" w:rsidRPr="00F427F4">
        <w:rPr>
          <w:rFonts w:ascii="Times New Roman" w:hAnsi="Times New Roman" w:cs="Times New Roman"/>
          <w:b/>
          <w:sz w:val="24"/>
          <w:szCs w:val="24"/>
        </w:rPr>
        <w:t>.</w:t>
      </w:r>
      <w:r w:rsidR="000A001B">
        <w:rPr>
          <w:rFonts w:ascii="Times New Roman" w:hAnsi="Times New Roman" w:cs="Times New Roman"/>
          <w:sz w:val="24"/>
          <w:szCs w:val="24"/>
        </w:rPr>
        <w:t xml:space="preserve"> K 679128</w:t>
      </w:r>
      <w:r w:rsidR="000A001B"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="000A001B">
        <w:rPr>
          <w:rFonts w:ascii="Times New Roman" w:hAnsi="Times New Roman" w:cs="Times New Roman"/>
          <w:sz w:val="24"/>
          <w:szCs w:val="24"/>
        </w:rPr>
        <w:t>–</w:t>
      </w:r>
      <w:r w:rsidR="000A001B"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="000A001B">
        <w:rPr>
          <w:rFonts w:ascii="Times New Roman" w:hAnsi="Times New Roman" w:cs="Times New Roman"/>
          <w:sz w:val="24"/>
          <w:szCs w:val="24"/>
        </w:rPr>
        <w:t xml:space="preserve">Poboljšanje učinkovitosti javnih ulaganja na području istraživanja, razvoja i inovacija NPOO (C3.2.R3), </w:t>
      </w:r>
      <w:r w:rsidR="00143C56">
        <w:rPr>
          <w:rFonts w:ascii="Times New Roman" w:hAnsi="Times New Roman" w:cs="Times New Roman"/>
          <w:sz w:val="24"/>
          <w:szCs w:val="24"/>
        </w:rPr>
        <w:t xml:space="preserve">planirani rashodi u 2025. godini iznose </w:t>
      </w:r>
      <w:r w:rsidR="00143C56">
        <w:rPr>
          <w:rFonts w:ascii="Times New Roman" w:hAnsi="Times New Roman" w:cs="Times New Roman"/>
          <w:sz w:val="24"/>
          <w:szCs w:val="24"/>
        </w:rPr>
        <w:t>92.684,00</w:t>
      </w:r>
      <w:r w:rsidR="00143C56" w:rsidRPr="00F427F4">
        <w:rPr>
          <w:rFonts w:ascii="Times New Roman" w:hAnsi="Times New Roman" w:cs="Times New Roman"/>
          <w:sz w:val="24"/>
          <w:szCs w:val="24"/>
        </w:rPr>
        <w:t xml:space="preserve"> eura</w:t>
      </w:r>
      <w:r w:rsidR="00143C56"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="000A001B" w:rsidRPr="00F427F4">
        <w:rPr>
          <w:rFonts w:ascii="Times New Roman" w:hAnsi="Times New Roman" w:cs="Times New Roman"/>
          <w:sz w:val="24"/>
          <w:szCs w:val="24"/>
        </w:rPr>
        <w:t>iz</w:t>
      </w:r>
      <w:r w:rsidR="009F2496">
        <w:rPr>
          <w:rFonts w:ascii="Times New Roman" w:hAnsi="Times New Roman" w:cs="Times New Roman"/>
          <w:sz w:val="24"/>
          <w:szCs w:val="24"/>
        </w:rPr>
        <w:t>vršenje za razdoblje I.-XII.2025</w:t>
      </w:r>
      <w:r w:rsidR="000A001B">
        <w:rPr>
          <w:rFonts w:ascii="Times New Roman" w:hAnsi="Times New Roman" w:cs="Times New Roman"/>
          <w:sz w:val="24"/>
          <w:szCs w:val="24"/>
        </w:rPr>
        <w:t xml:space="preserve">. iznosi </w:t>
      </w:r>
      <w:r w:rsidR="00143C56">
        <w:rPr>
          <w:rFonts w:ascii="Times New Roman" w:hAnsi="Times New Roman" w:cs="Times New Roman"/>
          <w:sz w:val="24"/>
          <w:szCs w:val="24"/>
        </w:rPr>
        <w:t>110.733,21</w:t>
      </w:r>
      <w:r w:rsidR="000A001B">
        <w:rPr>
          <w:rFonts w:ascii="Times New Roman" w:hAnsi="Times New Roman" w:cs="Times New Roman"/>
          <w:sz w:val="24"/>
          <w:szCs w:val="24"/>
        </w:rPr>
        <w:t xml:space="preserve"> eur;</w:t>
      </w:r>
    </w:p>
    <w:p w14:paraId="336B47B8" w14:textId="670631FF" w:rsidR="00126202" w:rsidRPr="00F427F4" w:rsidRDefault="0037705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26202" w:rsidRPr="00F427F4">
        <w:rPr>
          <w:rFonts w:ascii="Times New Roman" w:hAnsi="Times New Roman" w:cs="Times New Roman"/>
          <w:b/>
          <w:sz w:val="24"/>
          <w:szCs w:val="24"/>
        </w:rPr>
        <w:t>.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Aktivnost 679072 - EU projekti Sveučilišta u Rijeci – iz evidencijskih prihoda, financijski plan prikazuje plan rashoda u ukupnom iznosu </w:t>
      </w:r>
      <w:r w:rsidR="00143C56">
        <w:rPr>
          <w:rFonts w:ascii="Times New Roman" w:hAnsi="Times New Roman" w:cs="Times New Roman"/>
          <w:sz w:val="24"/>
          <w:szCs w:val="24"/>
        </w:rPr>
        <w:t>379.416,00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eura, iz</w:t>
      </w:r>
      <w:r w:rsidR="00914CA8">
        <w:rPr>
          <w:rFonts w:ascii="Times New Roman" w:hAnsi="Times New Roman" w:cs="Times New Roman"/>
          <w:sz w:val="24"/>
          <w:szCs w:val="24"/>
        </w:rPr>
        <w:t xml:space="preserve">vršenje za </w:t>
      </w:r>
      <w:r w:rsidR="00143C56">
        <w:rPr>
          <w:rFonts w:ascii="Times New Roman" w:hAnsi="Times New Roman" w:cs="Times New Roman"/>
          <w:sz w:val="24"/>
          <w:szCs w:val="24"/>
        </w:rPr>
        <w:t>razdoblje I.-XII.2025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. iznosi ukupno </w:t>
      </w:r>
      <w:r w:rsidR="00143C56">
        <w:rPr>
          <w:rFonts w:ascii="Times New Roman" w:hAnsi="Times New Roman" w:cs="Times New Roman"/>
          <w:sz w:val="24"/>
          <w:szCs w:val="24"/>
        </w:rPr>
        <w:t>440.825,69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eur,</w:t>
      </w:r>
      <w:r w:rsidR="00143C56">
        <w:rPr>
          <w:rFonts w:ascii="Times New Roman" w:hAnsi="Times New Roman" w:cs="Times New Roman"/>
          <w:sz w:val="24"/>
          <w:szCs w:val="24"/>
        </w:rPr>
        <w:t xml:space="preserve"> odnosno 16</w:t>
      </w:r>
      <w:r w:rsidR="00914CA8">
        <w:rPr>
          <w:rFonts w:ascii="Times New Roman" w:hAnsi="Times New Roman" w:cs="Times New Roman"/>
          <w:sz w:val="24"/>
          <w:szCs w:val="24"/>
        </w:rPr>
        <w:t>% više,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a odnosi se na EU projekte pojedinačno kako slijedi:</w:t>
      </w:r>
    </w:p>
    <w:p w14:paraId="0458E831" w14:textId="687E3675" w:rsidR="00126202" w:rsidRDefault="00126202" w:rsidP="00126202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7F4">
        <w:rPr>
          <w:rFonts w:ascii="Times New Roman" w:hAnsi="Times New Roman" w:cs="Times New Roman"/>
          <w:i/>
          <w:sz w:val="24"/>
          <w:szCs w:val="24"/>
        </w:rPr>
        <w:t>Izvor 51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3471"/>
        <w:gridCol w:w="1701"/>
        <w:gridCol w:w="1842"/>
      </w:tblGrid>
      <w:tr w:rsidR="00727880" w14:paraId="3A814A35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956D" w14:textId="77777777" w:rsidR="00727880" w:rsidRDefault="00727880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3E60" w14:textId="77777777" w:rsidR="00727880" w:rsidRDefault="00727880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E987" w14:textId="77777777" w:rsidR="00727880" w:rsidRDefault="00727880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EU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B529" w14:textId="0D948034" w:rsidR="00727880" w:rsidRDefault="00143C56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  <w:r w:rsidR="00727880"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CCEC" w14:textId="2ED7FCAC" w:rsidR="00727880" w:rsidRDefault="00727880" w:rsidP="00143C5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143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</w:tr>
      <w:tr w:rsidR="00727880" w14:paraId="10CEB761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E3FA" w14:textId="4D95EBC4" w:rsidR="00727880" w:rsidRDefault="00727880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586" w14:textId="78C1588F" w:rsidR="00727880" w:rsidRDefault="00727880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CF5D" w14:textId="11E83C13" w:rsidR="00727880" w:rsidRDefault="000E58A9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Sustrainable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C07" w14:textId="7DCA0179" w:rsidR="00727880" w:rsidRPr="00F427F4" w:rsidRDefault="000E58A9" w:rsidP="007278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5.844</w:t>
            </w:r>
            <w:r w:rsidR="0072788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8D4" w14:textId="558DE42A" w:rsidR="00727880" w:rsidRPr="00F427F4" w:rsidRDefault="000E58A9" w:rsidP="007278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1.667,26</w:t>
            </w:r>
          </w:p>
        </w:tc>
      </w:tr>
      <w:tr w:rsidR="00727880" w14:paraId="6C98CE4B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B03E" w14:textId="77777777" w:rsidR="00727880" w:rsidRDefault="00727880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FDF6" w14:textId="77777777" w:rsidR="00727880" w:rsidRDefault="00727880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8C20" w14:textId="2EDFE5FD" w:rsidR="00727880" w:rsidRDefault="000E58A9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BLISS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8596" w14:textId="33CC7AF0" w:rsidR="00727880" w:rsidRDefault="000E58A9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23.396,00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9CCA" w14:textId="217206EE" w:rsidR="00727880" w:rsidRDefault="000E58A9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11.229,39</w:t>
            </w:r>
          </w:p>
        </w:tc>
      </w:tr>
      <w:tr w:rsidR="00727880" w14:paraId="1A76C24C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B13" w14:textId="75BEA0BE" w:rsidR="00727880" w:rsidRDefault="004C5B84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D5D3" w14:textId="00423C3E" w:rsidR="00727880" w:rsidRDefault="004C5B84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C51D" w14:textId="4956541A" w:rsidR="00727880" w:rsidRDefault="000E58A9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TSAAI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AB9F" w14:textId="113912B2" w:rsidR="00727880" w:rsidRDefault="000E58A9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2.354,00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48B" w14:textId="6EF24839" w:rsidR="00727880" w:rsidRDefault="000E58A9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1.127,39</w:t>
            </w:r>
          </w:p>
        </w:tc>
      </w:tr>
      <w:tr w:rsidR="00727880" w14:paraId="296DCE84" w14:textId="77777777" w:rsidTr="000E58A9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F614" w14:textId="77777777" w:rsidR="00727880" w:rsidRDefault="00727880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2738" w14:textId="77777777" w:rsidR="00727880" w:rsidRDefault="00727880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73E7" w14:textId="75CB2B3E" w:rsidR="00727880" w:rsidRDefault="000E58A9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Horizon INNO2MARE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0F41" w14:textId="29FD39FE" w:rsidR="00727880" w:rsidRDefault="000E58A9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39.374,00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C24" w14:textId="7A875966" w:rsidR="00727880" w:rsidRDefault="000E58A9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40.776,35</w:t>
            </w:r>
          </w:p>
        </w:tc>
      </w:tr>
      <w:tr w:rsidR="00727880" w14:paraId="33B220D0" w14:textId="77777777" w:rsidTr="000E58A9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64D5" w14:textId="77777777" w:rsidR="00727880" w:rsidRDefault="00727880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3924" w14:textId="77777777" w:rsidR="00727880" w:rsidRDefault="00727880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D3FF" w14:textId="7864F99F" w:rsidR="00727880" w:rsidRDefault="000E58A9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NEST4WB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723" w14:textId="59DBBD28" w:rsidR="00727880" w:rsidRDefault="007215D1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5.251,00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59F6" w14:textId="738BDA19" w:rsidR="00727880" w:rsidRDefault="007215D1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4.300,15</w:t>
            </w:r>
          </w:p>
        </w:tc>
      </w:tr>
      <w:tr w:rsidR="00727880" w14:paraId="2C07A39A" w14:textId="77777777" w:rsidTr="000E58A9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9B83" w14:textId="77777777" w:rsidR="00727880" w:rsidRDefault="00727880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C328" w14:textId="77777777" w:rsidR="00727880" w:rsidRDefault="00727880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DC2D" w14:textId="77777777" w:rsidR="00727880" w:rsidRDefault="00727880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AISE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93EC" w14:textId="43F47619" w:rsidR="00727880" w:rsidRDefault="007215D1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2.841,00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9BF4" w14:textId="1A8AEFD5" w:rsidR="00727880" w:rsidRDefault="007215D1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1.574,81</w:t>
            </w:r>
          </w:p>
        </w:tc>
      </w:tr>
      <w:tr w:rsidR="00727880" w14:paraId="3C83E828" w14:textId="77777777" w:rsidTr="000E58A9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1B1F" w14:textId="77777777" w:rsidR="00727880" w:rsidRDefault="00727880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560" w14:textId="77777777" w:rsidR="00727880" w:rsidRDefault="00727880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77CC" w14:textId="040D824E" w:rsidR="00727880" w:rsidRDefault="007215D1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915F" w14:textId="3E9FE1B0" w:rsidR="00727880" w:rsidRDefault="007215D1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8.589,00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F33" w14:textId="4F872EFC" w:rsidR="00727880" w:rsidRDefault="007215D1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3.838,59</w:t>
            </w:r>
          </w:p>
        </w:tc>
      </w:tr>
      <w:tr w:rsidR="004C5B84" w14:paraId="234E7F3C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831" w14:textId="62787739" w:rsidR="004C5B84" w:rsidRDefault="004C5B84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C9C2" w14:textId="7CB77588" w:rsidR="004C5B84" w:rsidRDefault="004C5B84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D5AA" w14:textId="0596EB37" w:rsidR="004C5B84" w:rsidRDefault="007215D1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TRAINEE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D1D2" w14:textId="7C5C85D8" w:rsidR="004C5B84" w:rsidRDefault="007215D1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18.351,00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30E4" w14:textId="7CE4B550" w:rsidR="004C5B84" w:rsidRDefault="007215D1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2.461,99</w:t>
            </w:r>
          </w:p>
        </w:tc>
      </w:tr>
      <w:tr w:rsidR="004C5B84" w14:paraId="1ACA08E0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FFF" w14:textId="06746AAB" w:rsidR="004C5B84" w:rsidRDefault="004C5B84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3B7F" w14:textId="32BA9DCE" w:rsidR="004C5B84" w:rsidRDefault="004C5B84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6A5F" w14:textId="2AE23027" w:rsidR="004C5B84" w:rsidRDefault="007215D1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PATH-AI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CCCD" w14:textId="08811AC9" w:rsidR="004C5B84" w:rsidRDefault="004C5B84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BE9" w14:textId="0D84227B" w:rsidR="004C5B84" w:rsidRDefault="007215D1" w:rsidP="00727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1.568,70</w:t>
            </w:r>
          </w:p>
        </w:tc>
      </w:tr>
      <w:tr w:rsidR="007215D1" w14:paraId="7FAA998A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91B3" w14:textId="017B5F7E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179" w14:textId="750B18FF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9CE" w14:textId="22A4D089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Erasmus+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MultAI-PASS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E92" w14:textId="00037C7E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15F8" w14:textId="0BE101DC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1.697,33</w:t>
            </w:r>
          </w:p>
        </w:tc>
      </w:tr>
      <w:tr w:rsidR="007215D1" w14:paraId="62164579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BF3" w14:textId="77777777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15D1" w14:textId="77777777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2EA" w14:textId="77777777" w:rsidR="007215D1" w:rsidRPr="00427B45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27B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97F" w14:textId="6661BAF8" w:rsidR="007215D1" w:rsidRPr="00427B45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106.000</w:t>
            </w:r>
            <w:r w:rsidRPr="00427B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27D" w14:textId="33737B2C" w:rsidR="007215D1" w:rsidRPr="00427B45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70.241,96</w:t>
            </w:r>
          </w:p>
        </w:tc>
      </w:tr>
    </w:tbl>
    <w:p w14:paraId="4CFC0EA7" w14:textId="77777777" w:rsidR="00727880" w:rsidRPr="00F427F4" w:rsidRDefault="00727880" w:rsidP="00126202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AC71FF" w14:textId="67FFD269" w:rsidR="00126202" w:rsidRDefault="00126202" w:rsidP="00126202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427F4">
        <w:rPr>
          <w:rFonts w:ascii="Times New Roman" w:hAnsi="Times New Roman"/>
          <w:i/>
          <w:sz w:val="24"/>
          <w:szCs w:val="24"/>
        </w:rPr>
        <w:t>Izvor 52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3471"/>
        <w:gridCol w:w="1701"/>
        <w:gridCol w:w="1842"/>
      </w:tblGrid>
      <w:tr w:rsidR="004C5B84" w14:paraId="498EEDAB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31C8" w14:textId="77777777" w:rsidR="004C5B84" w:rsidRDefault="004C5B84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7994" w14:textId="77777777" w:rsidR="004C5B84" w:rsidRDefault="004C5B84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1E3F" w14:textId="77777777" w:rsidR="004C5B84" w:rsidRDefault="004C5B84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EU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3DEA" w14:textId="10C270FF" w:rsidR="004C5B84" w:rsidRDefault="007215D1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  <w:r w:rsidR="004C5B84"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0A7B" w14:textId="55AF9C41" w:rsidR="004C5B84" w:rsidRDefault="007215D1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  <w:r w:rsidR="004C5B84"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</w:tr>
      <w:tr w:rsidR="004C5B84" w14:paraId="4A5A55D2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EC" w14:textId="03AC505C" w:rsidR="004C5B84" w:rsidRDefault="004C5B84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FD7E" w14:textId="77777777" w:rsidR="004C5B84" w:rsidRDefault="004C5B84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8BD" w14:textId="7398A70E" w:rsidR="004C5B84" w:rsidRDefault="007215D1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DATACROSS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598" w14:textId="27D71216" w:rsidR="004C5B84" w:rsidRPr="00F427F4" w:rsidRDefault="007215D1" w:rsidP="000226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521" w14:textId="200D0D2D" w:rsidR="007215D1" w:rsidRPr="00F427F4" w:rsidRDefault="007215D1" w:rsidP="007215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9.729,44</w:t>
            </w:r>
          </w:p>
        </w:tc>
      </w:tr>
      <w:tr w:rsidR="007215D1" w14:paraId="58EEDB7B" w14:textId="77777777" w:rsidTr="004C5B84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232C" w14:textId="3BDE617F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0636" w14:textId="77777777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F413" w14:textId="39FB8B57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KLIMOD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480F" w14:textId="6F42F95A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22.656,00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220A" w14:textId="4D421522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19.034,39</w:t>
            </w:r>
          </w:p>
        </w:tc>
      </w:tr>
      <w:tr w:rsidR="007215D1" w14:paraId="7C86B430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F5A4" w14:textId="169A6816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8D5D" w14:textId="77777777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FB21" w14:textId="021D4B4C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YUFERING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12BB" w14:textId="5F8AD86C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F95" w14:textId="3E9FC6C1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6.452,18</w:t>
            </w:r>
          </w:p>
        </w:tc>
      </w:tr>
      <w:tr w:rsidR="007215D1" w14:paraId="08B8EE7B" w14:textId="77777777" w:rsidTr="004C5B84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8634" w14:textId="05F60D39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60F7" w14:textId="77777777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90A" w14:textId="36EB0196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EuroCC</w:t>
            </w:r>
            <w:r w:rsidRPr="00F427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27EC" w14:textId="2E2E3BC6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101.500,00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77C6" w14:textId="0AC5EF2D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56.571,14</w:t>
            </w:r>
          </w:p>
        </w:tc>
      </w:tr>
      <w:tr w:rsidR="007215D1" w14:paraId="0FA93A51" w14:textId="77777777" w:rsidTr="004C5B84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B77B" w14:textId="652A02DF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BDAE" w14:textId="6D9A914F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8770" w14:textId="6A9250A2" w:rsidR="007215D1" w:rsidRPr="00F427F4" w:rsidRDefault="00E32173" w:rsidP="007215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Erasmus+ WICT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B9D" w14:textId="21F7EE32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D68" w14:textId="6BBC3694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12.243,00</w:t>
            </w:r>
          </w:p>
        </w:tc>
      </w:tr>
      <w:tr w:rsidR="007215D1" w14:paraId="54AF0C9C" w14:textId="77777777" w:rsidTr="004C5B84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886D" w14:textId="044EC499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89BB" w14:textId="77777777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6D07" w14:textId="5200D4CC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Erasmus+ Girls go 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1D2" w14:textId="6747EC2C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5.938,00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BAF" w14:textId="2AD2C021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2.711,02</w:t>
            </w:r>
          </w:p>
        </w:tc>
      </w:tr>
      <w:tr w:rsidR="007215D1" w14:paraId="2D5F17A7" w14:textId="77777777" w:rsidTr="004C5B84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93D0" w14:textId="7E92DCB3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75EC" w14:textId="77777777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CAA" w14:textId="3C300BCF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CDC" w14:textId="03418922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34.996,00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9B5D" w14:textId="0FED668A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34.995,95</w:t>
            </w:r>
          </w:p>
        </w:tc>
      </w:tr>
      <w:tr w:rsidR="007215D1" w14:paraId="6930ADEF" w14:textId="77777777" w:rsidTr="004C5B84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257B" w14:textId="33D7E23E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A1EC" w14:textId="77777777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417" w14:textId="1D642C63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Erasmus+ Everyone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986" w14:textId="5544A1C1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B58" w14:textId="54D34DF7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46.114,18</w:t>
            </w:r>
          </w:p>
        </w:tc>
      </w:tr>
      <w:tr w:rsidR="007215D1" w14:paraId="5A20D004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A68" w14:textId="1B983D7D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F91" w14:textId="77777777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48D3" w14:textId="3EA7D665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r w:rsidRPr="004C5B84">
              <w:rPr>
                <w:rFonts w:ascii="Times New Roman" w:hAnsi="Times New Roman" w:cs="Times New Roman"/>
                <w:sz w:val="24"/>
                <w:szCs w:val="24"/>
              </w:rPr>
              <w:t>+ SMAIle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6C0" w14:textId="6BAA059D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2443" w14:textId="381A39D2" w:rsidR="00E32173" w:rsidRDefault="00E32173" w:rsidP="00E3217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7.118,42</w:t>
            </w:r>
          </w:p>
        </w:tc>
      </w:tr>
      <w:tr w:rsidR="007215D1" w14:paraId="272451F3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3B4" w14:textId="5085B77A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999" w14:textId="77777777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17D1" w14:textId="02DC75B0" w:rsidR="007215D1" w:rsidRPr="00E32173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32173">
              <w:rPr>
                <w:rFonts w:ascii="Times New Roman" w:hAnsi="Times New Roman" w:cs="Times New Roman"/>
              </w:rPr>
              <w:t>BrainClock NPOO.C3.2.R3-I1.04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07A" w14:textId="6373EACC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9BD" w14:textId="5ACA4624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30.017,22</w:t>
            </w:r>
          </w:p>
        </w:tc>
      </w:tr>
      <w:tr w:rsidR="007215D1" w14:paraId="0C59405E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F4" w14:textId="52A832C5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6DE5" w14:textId="69893BCA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441" w14:textId="6076508E" w:rsidR="007215D1" w:rsidRPr="00F427F4" w:rsidRDefault="00E32173" w:rsidP="007215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AI4Health.Cro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D831" w14:textId="62A37E41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9.945,00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CD5" w14:textId="072E8C5E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15D1" w14:paraId="711E2194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1CE" w14:textId="2FCB186D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6945" w14:textId="5A8C3226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6951" w14:textId="5D82D6DD" w:rsidR="007215D1" w:rsidRDefault="00E32173" w:rsidP="007215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Snoopy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59B" w14:textId="732392B1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2973" w14:textId="102ACD9D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2.772,55</w:t>
            </w:r>
          </w:p>
        </w:tc>
      </w:tr>
      <w:tr w:rsidR="007215D1" w14:paraId="621963E5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8A9" w14:textId="50598E1E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155B" w14:textId="2CC6A344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31C" w14:textId="015B82C9" w:rsidR="007215D1" w:rsidRPr="00F427F4" w:rsidRDefault="00E32173" w:rsidP="007215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Noć istraživača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4DA" w14:textId="43D28516" w:rsidR="007215D1" w:rsidRDefault="00E32173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434" w14:textId="390FDEA9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15D1" w14:paraId="3A937EAC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AC66" w14:textId="77777777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5B8" w14:textId="77777777" w:rsidR="007215D1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451" w14:textId="77777777" w:rsidR="007215D1" w:rsidRPr="00427B45" w:rsidRDefault="007215D1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27B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6469" w14:textId="4DF79974" w:rsidR="007215D1" w:rsidRPr="00427B45" w:rsidRDefault="00F65FC9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191.587,00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9F1" w14:textId="0CEAF8B4" w:rsidR="007215D1" w:rsidRPr="00427B45" w:rsidRDefault="00F65FC9" w:rsidP="007215D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227.759,49</w:t>
            </w:r>
          </w:p>
        </w:tc>
      </w:tr>
    </w:tbl>
    <w:p w14:paraId="3B775108" w14:textId="6E927CC0" w:rsidR="00126202" w:rsidRDefault="00126202" w:rsidP="00126202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427F4">
        <w:rPr>
          <w:rFonts w:ascii="Times New Roman" w:hAnsi="Times New Roman"/>
          <w:i/>
          <w:sz w:val="24"/>
          <w:szCs w:val="24"/>
        </w:rPr>
        <w:lastRenderedPageBreak/>
        <w:t>Izvor 61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3471"/>
        <w:gridCol w:w="1701"/>
        <w:gridCol w:w="1842"/>
      </w:tblGrid>
      <w:tr w:rsidR="009A73F8" w14:paraId="438D9E64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2CD1" w14:textId="77777777" w:rsidR="009A73F8" w:rsidRDefault="009A73F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4A62" w14:textId="77777777" w:rsidR="009A73F8" w:rsidRDefault="009A73F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6033" w14:textId="77777777" w:rsidR="009A73F8" w:rsidRDefault="009A73F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EU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731F" w14:textId="1239B800" w:rsidR="009A73F8" w:rsidRDefault="00220550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  <w:r w:rsidR="009A73F8"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4A00" w14:textId="651E9DFC" w:rsidR="009A73F8" w:rsidRDefault="00220550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  <w:r w:rsidR="009A73F8"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</w:tr>
      <w:tr w:rsidR="009A73F8" w14:paraId="6521138A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B9B" w14:textId="23BDD22D" w:rsidR="009A73F8" w:rsidRDefault="009A73F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4A8" w14:textId="77777777" w:rsidR="009A73F8" w:rsidRDefault="009A73F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F1D" w14:textId="087D8FA6" w:rsidR="009A73F8" w:rsidRDefault="00220550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D48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BEYOND Interreg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A36" w14:textId="5F650376" w:rsidR="009A73F8" w:rsidRPr="00F427F4" w:rsidRDefault="00220550" w:rsidP="000226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81.829,00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8D2" w14:textId="6C511D7D" w:rsidR="009A73F8" w:rsidRPr="00F427F4" w:rsidRDefault="00220550" w:rsidP="000226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81.006,40</w:t>
            </w:r>
          </w:p>
        </w:tc>
      </w:tr>
      <w:tr w:rsidR="009A73F8" w14:paraId="5DF95FD0" w14:textId="77777777" w:rsidTr="00220550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7843" w14:textId="18CF7C02" w:rsidR="009A73F8" w:rsidRDefault="001B0CF6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9A73F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8817" w14:textId="77777777" w:rsidR="009A73F8" w:rsidRDefault="009A73F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DD3" w14:textId="362E9A2F" w:rsidR="009A73F8" w:rsidRDefault="00220550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SPIN SMART-HOTEL 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7AF" w14:textId="4D2BCF75" w:rsidR="009A73F8" w:rsidRDefault="00220550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489C" w14:textId="27AD967A" w:rsidR="009A73F8" w:rsidRDefault="00220550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48.457,49</w:t>
            </w:r>
          </w:p>
        </w:tc>
      </w:tr>
      <w:tr w:rsidR="009A73F8" w14:paraId="3C5C117B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1EB" w14:textId="532ECD62" w:rsidR="009A73F8" w:rsidRDefault="003C1867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9A73F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8AA" w14:textId="77777777" w:rsidR="009A73F8" w:rsidRDefault="009A73F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38DC" w14:textId="7B8C181D" w:rsidR="009A73F8" w:rsidRDefault="0000408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SPIN PBMSense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275E" w14:textId="5964ED9D" w:rsidR="009A73F8" w:rsidRDefault="0000408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F3A7" w14:textId="1D9839E0" w:rsidR="009A73F8" w:rsidRDefault="0000408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10.790,03</w:t>
            </w:r>
          </w:p>
        </w:tc>
      </w:tr>
      <w:tr w:rsidR="009A73F8" w14:paraId="35A1D688" w14:textId="77777777" w:rsidTr="001B0CF6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5DEC" w14:textId="072B1F86" w:rsidR="009A73F8" w:rsidRDefault="003C1867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9A73F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F017" w14:textId="77777777" w:rsidR="009A73F8" w:rsidRDefault="009A73F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7586" w14:textId="68D4F838" w:rsidR="009A73F8" w:rsidRDefault="0000408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NARASTEM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759" w14:textId="169170C5" w:rsidR="009A73F8" w:rsidRDefault="0000408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29DD" w14:textId="1577BFFE" w:rsidR="009A73F8" w:rsidRDefault="0000408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2.570,32</w:t>
            </w:r>
          </w:p>
        </w:tc>
      </w:tr>
      <w:tr w:rsidR="009A73F8" w14:paraId="0B72FD12" w14:textId="77777777" w:rsidTr="000226D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C1B2" w14:textId="77777777" w:rsidR="009A73F8" w:rsidRDefault="009A73F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A4B" w14:textId="77777777" w:rsidR="009A73F8" w:rsidRDefault="009A73F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64AA" w14:textId="77777777" w:rsidR="009A73F8" w:rsidRPr="00427B45" w:rsidRDefault="009A73F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27B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AA4C" w14:textId="0CE41CF5" w:rsidR="009A73F8" w:rsidRPr="00427B45" w:rsidRDefault="0000408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81.829</w:t>
            </w:r>
            <w:r w:rsidR="009A73F8" w:rsidRPr="00427B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E599" w14:textId="599243C9" w:rsidR="009A73F8" w:rsidRPr="00427B45" w:rsidRDefault="00004088" w:rsidP="000226D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142.824,24</w:t>
            </w:r>
          </w:p>
        </w:tc>
      </w:tr>
    </w:tbl>
    <w:p w14:paraId="55EB3291" w14:textId="77777777" w:rsidR="00C45D70" w:rsidRPr="00F427F4" w:rsidRDefault="00C45D70" w:rsidP="00126202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0F606B" w14:textId="5DDC8BD4" w:rsidR="00126202" w:rsidRDefault="00126202" w:rsidP="001262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7F4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70ED31DC" w14:textId="77777777" w:rsidR="00C45D70" w:rsidRPr="00F427F4" w:rsidRDefault="00C45D70" w:rsidP="001262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B39BD" w14:textId="6F5E8386" w:rsidR="00126202" w:rsidRPr="00F427F4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ab/>
        <w:t>Planirani donos sred</w:t>
      </w:r>
      <w:r w:rsidR="000262F2">
        <w:rPr>
          <w:rFonts w:ascii="Times New Roman" w:hAnsi="Times New Roman" w:cs="Times New Roman"/>
          <w:sz w:val="24"/>
          <w:szCs w:val="24"/>
        </w:rPr>
        <w:t>stava iz prethodne godine u 2025</w:t>
      </w:r>
      <w:r w:rsidRPr="00F427F4">
        <w:rPr>
          <w:rFonts w:ascii="Times New Roman" w:hAnsi="Times New Roman" w:cs="Times New Roman"/>
          <w:sz w:val="24"/>
          <w:szCs w:val="24"/>
        </w:rPr>
        <w:t>. godinu u iznosu 2.</w:t>
      </w:r>
      <w:r w:rsidR="000262F2">
        <w:rPr>
          <w:rFonts w:ascii="Times New Roman" w:hAnsi="Times New Roman" w:cs="Times New Roman"/>
          <w:sz w:val="24"/>
          <w:szCs w:val="24"/>
        </w:rPr>
        <w:t>635.981</w:t>
      </w:r>
      <w:r w:rsidRPr="00F427F4">
        <w:rPr>
          <w:rFonts w:ascii="Times New Roman" w:hAnsi="Times New Roman" w:cs="Times New Roman"/>
          <w:sz w:val="24"/>
          <w:szCs w:val="24"/>
        </w:rPr>
        <w:t xml:space="preserve"> eura, odnosi se na donos </w:t>
      </w:r>
      <w:r w:rsidR="000262F2">
        <w:rPr>
          <w:rFonts w:ascii="Times New Roman" w:hAnsi="Times New Roman" w:cs="Times New Roman"/>
          <w:sz w:val="24"/>
          <w:szCs w:val="24"/>
        </w:rPr>
        <w:t xml:space="preserve">188.500,00 eura </w:t>
      </w:r>
      <w:r w:rsidRPr="00F427F4">
        <w:rPr>
          <w:rFonts w:ascii="Times New Roman" w:hAnsi="Times New Roman" w:cs="Times New Roman"/>
          <w:sz w:val="24"/>
          <w:szCs w:val="24"/>
        </w:rPr>
        <w:t xml:space="preserve">vlastitih prihoda izvora 31, </w:t>
      </w:r>
      <w:r w:rsidR="000262F2">
        <w:rPr>
          <w:rFonts w:ascii="Times New Roman" w:hAnsi="Times New Roman" w:cs="Times New Roman"/>
          <w:sz w:val="24"/>
          <w:szCs w:val="24"/>
        </w:rPr>
        <w:t xml:space="preserve">1.420.650,00 eura </w:t>
      </w:r>
      <w:r w:rsidRPr="00F427F4">
        <w:rPr>
          <w:rFonts w:ascii="Times New Roman" w:hAnsi="Times New Roman" w:cs="Times New Roman"/>
          <w:sz w:val="24"/>
          <w:szCs w:val="24"/>
        </w:rPr>
        <w:t xml:space="preserve">namjenskih prihoda uglavnom od školarina na izvoru 43, donos </w:t>
      </w:r>
      <w:r w:rsidR="000262F2">
        <w:rPr>
          <w:rFonts w:ascii="Times New Roman" w:hAnsi="Times New Roman" w:cs="Times New Roman"/>
          <w:sz w:val="24"/>
          <w:szCs w:val="24"/>
        </w:rPr>
        <w:t xml:space="preserve">180.017,00 eura </w:t>
      </w:r>
      <w:r w:rsidRPr="00F427F4">
        <w:rPr>
          <w:rFonts w:ascii="Times New Roman" w:hAnsi="Times New Roman" w:cs="Times New Roman"/>
          <w:sz w:val="24"/>
          <w:szCs w:val="24"/>
        </w:rPr>
        <w:t xml:space="preserve">za EU projekte - izvor 51, donos </w:t>
      </w:r>
      <w:r w:rsidR="000262F2">
        <w:rPr>
          <w:rFonts w:ascii="Times New Roman" w:hAnsi="Times New Roman" w:cs="Times New Roman"/>
          <w:sz w:val="24"/>
          <w:szCs w:val="24"/>
        </w:rPr>
        <w:t xml:space="preserve">758.107,00 eura </w:t>
      </w:r>
      <w:r w:rsidRPr="00F427F4">
        <w:rPr>
          <w:rFonts w:ascii="Times New Roman" w:hAnsi="Times New Roman" w:cs="Times New Roman"/>
          <w:sz w:val="24"/>
          <w:szCs w:val="24"/>
        </w:rPr>
        <w:t>na izvoru 52 za projekte Hrvatske zaklade za znanost i EU  projekte</w:t>
      </w:r>
      <w:r w:rsidR="000262F2">
        <w:rPr>
          <w:rFonts w:ascii="Times New Roman" w:hAnsi="Times New Roman" w:cs="Times New Roman"/>
          <w:sz w:val="24"/>
          <w:szCs w:val="24"/>
        </w:rPr>
        <w:t>, donos 35.772,00 eura na izvoru 581</w:t>
      </w:r>
      <w:r w:rsidR="002F4CEB">
        <w:rPr>
          <w:rFonts w:ascii="Times New Roman" w:hAnsi="Times New Roman" w:cs="Times New Roman"/>
          <w:sz w:val="24"/>
          <w:szCs w:val="24"/>
        </w:rPr>
        <w:t xml:space="preserve"> također za EU projekt</w:t>
      </w:r>
      <w:r w:rsidR="000262F2">
        <w:rPr>
          <w:rFonts w:ascii="Times New Roman" w:hAnsi="Times New Roman" w:cs="Times New Roman"/>
          <w:sz w:val="24"/>
          <w:szCs w:val="24"/>
        </w:rPr>
        <w:t>, donos 1.971,00 eura na izvoru 61, te 50.964,00 eura donosa na izvoru 71</w:t>
      </w:r>
      <w:r w:rsidRPr="00F427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22BB6F" w14:textId="17825CD3" w:rsidR="00126202" w:rsidRPr="00F427F4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>U izvršenju razdoblja I.-XII.202</w:t>
      </w:r>
      <w:r w:rsidR="000262F2">
        <w:rPr>
          <w:rFonts w:ascii="Times New Roman" w:hAnsi="Times New Roman" w:cs="Times New Roman"/>
          <w:sz w:val="24"/>
          <w:szCs w:val="24"/>
        </w:rPr>
        <w:t>5</w:t>
      </w:r>
      <w:r w:rsidRPr="00F427F4">
        <w:rPr>
          <w:rFonts w:ascii="Times New Roman" w:hAnsi="Times New Roman" w:cs="Times New Roman"/>
          <w:sz w:val="24"/>
          <w:szCs w:val="24"/>
        </w:rPr>
        <w:t>. ukupan donos sredstava iz prethodne godine iznosi 2.</w:t>
      </w:r>
      <w:r w:rsidR="000262F2">
        <w:rPr>
          <w:rFonts w:ascii="Times New Roman" w:hAnsi="Times New Roman" w:cs="Times New Roman"/>
          <w:sz w:val="24"/>
          <w:szCs w:val="24"/>
        </w:rPr>
        <w:t>387.054,42</w:t>
      </w:r>
      <w:r w:rsidRPr="00F427F4">
        <w:rPr>
          <w:rFonts w:ascii="Times New Roman" w:hAnsi="Times New Roman" w:cs="Times New Roman"/>
          <w:sz w:val="24"/>
          <w:szCs w:val="24"/>
        </w:rPr>
        <w:t xml:space="preserve"> eur, dok je prijen</w:t>
      </w:r>
      <w:r w:rsidR="000262F2">
        <w:rPr>
          <w:rFonts w:ascii="Times New Roman" w:hAnsi="Times New Roman" w:cs="Times New Roman"/>
          <w:sz w:val="24"/>
          <w:szCs w:val="24"/>
        </w:rPr>
        <w:t>os sredstava u iduće razdoblje 1</w:t>
      </w:r>
      <w:r w:rsidRPr="00F427F4">
        <w:rPr>
          <w:rFonts w:ascii="Times New Roman" w:hAnsi="Times New Roman" w:cs="Times New Roman"/>
          <w:sz w:val="24"/>
          <w:szCs w:val="24"/>
        </w:rPr>
        <w:t>.</w:t>
      </w:r>
      <w:r w:rsidR="000262F2">
        <w:rPr>
          <w:rFonts w:ascii="Times New Roman" w:hAnsi="Times New Roman" w:cs="Times New Roman"/>
          <w:sz w:val="24"/>
          <w:szCs w:val="24"/>
        </w:rPr>
        <w:t>949.140,12</w:t>
      </w:r>
      <w:r w:rsidRPr="00F427F4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4378FA11" w14:textId="5DC89088" w:rsidR="00126202" w:rsidRPr="00F427F4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Donos </w:t>
      </w:r>
      <w:r w:rsidR="002F4CEB">
        <w:rPr>
          <w:rFonts w:ascii="Times New Roman" w:hAnsi="Times New Roman" w:cs="Times New Roman"/>
          <w:sz w:val="24"/>
          <w:szCs w:val="24"/>
        </w:rPr>
        <w:t xml:space="preserve">planiranih </w:t>
      </w:r>
      <w:r w:rsidRPr="00F427F4">
        <w:rPr>
          <w:rFonts w:ascii="Times New Roman" w:hAnsi="Times New Roman" w:cs="Times New Roman"/>
          <w:sz w:val="24"/>
          <w:szCs w:val="24"/>
        </w:rPr>
        <w:t>sredstava iz prethodne godine odnosi se na:</w:t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1226"/>
        <w:gridCol w:w="1137"/>
        <w:gridCol w:w="1066"/>
        <w:gridCol w:w="1211"/>
        <w:gridCol w:w="1024"/>
        <w:gridCol w:w="1101"/>
        <w:gridCol w:w="1722"/>
      </w:tblGrid>
      <w:tr w:rsidR="004B6662" w:rsidRPr="00F427F4" w14:paraId="5C1FC503" w14:textId="77777777" w:rsidTr="004B6662">
        <w:tc>
          <w:tcPr>
            <w:tcW w:w="1135" w:type="dxa"/>
          </w:tcPr>
          <w:p w14:paraId="131E3BD7" w14:textId="66103BA0" w:rsidR="004B6662" w:rsidRPr="00F427F4" w:rsidRDefault="004B6662" w:rsidP="00D9663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Izvor 3</w:t>
            </w:r>
            <w:r w:rsidRPr="00F427F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14:paraId="09EA5C88" w14:textId="0F9051A6" w:rsidR="004B6662" w:rsidRPr="00F427F4" w:rsidRDefault="004B6662" w:rsidP="00D9663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Izvor 43</w:t>
            </w:r>
          </w:p>
        </w:tc>
        <w:tc>
          <w:tcPr>
            <w:tcW w:w="1137" w:type="dxa"/>
          </w:tcPr>
          <w:p w14:paraId="7EEC946F" w14:textId="61342F6B" w:rsidR="004B6662" w:rsidRPr="00F427F4" w:rsidRDefault="004B6662" w:rsidP="00D9663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Izvor 51</w:t>
            </w:r>
          </w:p>
        </w:tc>
        <w:tc>
          <w:tcPr>
            <w:tcW w:w="1066" w:type="dxa"/>
          </w:tcPr>
          <w:p w14:paraId="55076E05" w14:textId="30BFC2F2" w:rsidR="004B6662" w:rsidRPr="00F427F4" w:rsidRDefault="004B6662" w:rsidP="00D9663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Izvor 52</w:t>
            </w:r>
          </w:p>
        </w:tc>
        <w:tc>
          <w:tcPr>
            <w:tcW w:w="1211" w:type="dxa"/>
          </w:tcPr>
          <w:p w14:paraId="19148DDC" w14:textId="7498ACEC" w:rsidR="004B6662" w:rsidRPr="00F427F4" w:rsidRDefault="004B6662" w:rsidP="00D9663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Izvor 581</w:t>
            </w:r>
          </w:p>
        </w:tc>
        <w:tc>
          <w:tcPr>
            <w:tcW w:w="1024" w:type="dxa"/>
          </w:tcPr>
          <w:p w14:paraId="4492F4CF" w14:textId="77777777" w:rsidR="004B6662" w:rsidRPr="00F427F4" w:rsidRDefault="004B6662" w:rsidP="00D9663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427F4">
              <w:rPr>
                <w:i/>
                <w:sz w:val="24"/>
                <w:szCs w:val="24"/>
              </w:rPr>
              <w:t>Izvor 61</w:t>
            </w:r>
          </w:p>
        </w:tc>
        <w:tc>
          <w:tcPr>
            <w:tcW w:w="1101" w:type="dxa"/>
          </w:tcPr>
          <w:p w14:paraId="78668085" w14:textId="3732E13D" w:rsidR="004B6662" w:rsidRPr="00F427F4" w:rsidRDefault="004B6662" w:rsidP="00D9663A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Izvor 71</w:t>
            </w:r>
          </w:p>
        </w:tc>
        <w:tc>
          <w:tcPr>
            <w:tcW w:w="1722" w:type="dxa"/>
          </w:tcPr>
          <w:p w14:paraId="54C67267" w14:textId="6BC179B2" w:rsidR="004B6662" w:rsidRPr="00F427F4" w:rsidRDefault="004B6662" w:rsidP="00D9663A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427F4">
              <w:rPr>
                <w:i/>
                <w:sz w:val="24"/>
                <w:szCs w:val="24"/>
              </w:rPr>
              <w:t>Ukupno</w:t>
            </w:r>
          </w:p>
        </w:tc>
      </w:tr>
      <w:tr w:rsidR="004B6662" w:rsidRPr="00F427F4" w14:paraId="697358E8" w14:textId="77777777" w:rsidTr="004B6662">
        <w:tc>
          <w:tcPr>
            <w:tcW w:w="1135" w:type="dxa"/>
          </w:tcPr>
          <w:p w14:paraId="49D5FDFF" w14:textId="44DC528E" w:rsidR="004B6662" w:rsidRPr="00F427F4" w:rsidRDefault="002F4CEB" w:rsidP="00D9663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188.500</w:t>
            </w:r>
          </w:p>
        </w:tc>
        <w:tc>
          <w:tcPr>
            <w:tcW w:w="1226" w:type="dxa"/>
          </w:tcPr>
          <w:p w14:paraId="317E0DC8" w14:textId="6DEC1988" w:rsidR="004B6662" w:rsidRPr="00F427F4" w:rsidRDefault="004B6662" w:rsidP="002F4CE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F4CEB">
              <w:rPr>
                <w:sz w:val="24"/>
                <w:szCs w:val="24"/>
              </w:rPr>
              <w:t>420.650</w:t>
            </w:r>
            <w:r w:rsidRPr="00F427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14:paraId="4BE38BF2" w14:textId="171DF1FC" w:rsidR="004B6662" w:rsidRPr="00F427F4" w:rsidRDefault="004B6662" w:rsidP="002F4CE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4CEB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.</w:t>
            </w:r>
            <w:r w:rsidR="002F4CEB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14:paraId="737C9808" w14:textId="232A8EA8" w:rsidR="004B6662" w:rsidRPr="00F427F4" w:rsidRDefault="002F4CEB" w:rsidP="00D9663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758.107</w:t>
            </w:r>
          </w:p>
        </w:tc>
        <w:tc>
          <w:tcPr>
            <w:tcW w:w="1211" w:type="dxa"/>
          </w:tcPr>
          <w:p w14:paraId="0DE151F0" w14:textId="48DD21FE" w:rsidR="004B6662" w:rsidRPr="00F427F4" w:rsidRDefault="002F4CEB" w:rsidP="00D9663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35.772</w:t>
            </w:r>
          </w:p>
        </w:tc>
        <w:tc>
          <w:tcPr>
            <w:tcW w:w="1024" w:type="dxa"/>
          </w:tcPr>
          <w:p w14:paraId="18110E60" w14:textId="3BD5FBB4" w:rsidR="004B6662" w:rsidRPr="00F427F4" w:rsidRDefault="002F4CEB" w:rsidP="00D9663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1.971</w:t>
            </w:r>
          </w:p>
        </w:tc>
        <w:tc>
          <w:tcPr>
            <w:tcW w:w="1101" w:type="dxa"/>
          </w:tcPr>
          <w:p w14:paraId="0E2C38A7" w14:textId="726E066C" w:rsidR="004B6662" w:rsidRPr="00F427F4" w:rsidRDefault="002F4CEB" w:rsidP="00D9663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50.964</w:t>
            </w:r>
          </w:p>
        </w:tc>
        <w:tc>
          <w:tcPr>
            <w:tcW w:w="1722" w:type="dxa"/>
          </w:tcPr>
          <w:p w14:paraId="61613677" w14:textId="2D483072" w:rsidR="004B6662" w:rsidRPr="00F427F4" w:rsidRDefault="002F4CEB" w:rsidP="00D9663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2.635.981</w:t>
            </w:r>
          </w:p>
        </w:tc>
      </w:tr>
    </w:tbl>
    <w:p w14:paraId="0926A8C8" w14:textId="77777777" w:rsidR="00126202" w:rsidRPr="00F427F4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08CD5" w14:textId="36D1644B" w:rsidR="00126202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Donos sredstava iz prethodne godine na izvoru 31 odnosi se na stručne projekte, donos sredstava iz ranijih godina na izvoru 43 koristio se za kupnju znanstvene opreme, investicijsko održavanje fakulteta i unaprijeđenje djelatnosti fakulteta, dok se donos sredstava na izvorima 51, 52 i 61 odnosi  uglavnom na provedbu </w:t>
      </w:r>
      <w:r w:rsidR="00C45D70">
        <w:rPr>
          <w:rFonts w:ascii="Times New Roman" w:hAnsi="Times New Roman" w:cs="Times New Roman"/>
          <w:sz w:val="24"/>
          <w:szCs w:val="24"/>
        </w:rPr>
        <w:t xml:space="preserve">HRZZ projekata i EU projekata. </w:t>
      </w:r>
    </w:p>
    <w:p w14:paraId="1A0171D5" w14:textId="77777777" w:rsidR="00C45D70" w:rsidRPr="00F427F4" w:rsidRDefault="00C45D70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C4399" w14:textId="5A00C3AD" w:rsidR="00C45D70" w:rsidRDefault="00C45D70" w:rsidP="00C45D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Rijeci, 26. ožujka 2026</w:t>
      </w:r>
      <w:r w:rsidRPr="00F427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6202" w:rsidRPr="00F427F4">
        <w:rPr>
          <w:rFonts w:ascii="Times New Roman" w:hAnsi="Times New Roman" w:cs="Times New Roman"/>
          <w:sz w:val="24"/>
          <w:szCs w:val="24"/>
        </w:rPr>
        <w:t>Odgovorna osoba:</w:t>
      </w:r>
    </w:p>
    <w:p w14:paraId="7E5BBC70" w14:textId="2C73540D" w:rsidR="00126202" w:rsidRPr="00F427F4" w:rsidRDefault="00126202" w:rsidP="00C45D70">
      <w:pPr>
        <w:spacing w:line="276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>DEKAN</w:t>
      </w:r>
    </w:p>
    <w:p w14:paraId="7BE6BEAF" w14:textId="2231665C" w:rsidR="00583943" w:rsidRPr="00F427F4" w:rsidRDefault="00126202" w:rsidP="00C45D70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  <w:t>M.P.</w:t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Pr="00F427F4">
        <w:rPr>
          <w:rFonts w:ascii="Times New Roman" w:hAnsi="Times New Roman" w:cs="Times New Roman"/>
          <w:sz w:val="24"/>
          <w:szCs w:val="24"/>
        </w:rPr>
        <w:t>Prof. dr. sc. Lado Kranjčević</w:t>
      </w:r>
    </w:p>
    <w:sectPr w:rsidR="00583943" w:rsidRPr="00F427F4" w:rsidSect="002036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1" w:right="1137" w:bottom="1137" w:left="1137" w:header="431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F22EC" w14:textId="77777777" w:rsidR="00360A75" w:rsidRDefault="00360A75">
      <w:pPr>
        <w:spacing w:after="0" w:line="240" w:lineRule="auto"/>
      </w:pPr>
      <w:r>
        <w:separator/>
      </w:r>
    </w:p>
  </w:endnote>
  <w:endnote w:type="continuationSeparator" w:id="0">
    <w:p w14:paraId="7736AB60" w14:textId="77777777" w:rsidR="00360A75" w:rsidRDefault="0036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buntu Medium">
    <w:altName w:val="Times New Roman"/>
    <w:charset w:val="00"/>
    <w:family w:val="auto"/>
    <w:pitch w:val="default"/>
  </w:font>
  <w:font w:name="Ubunt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F00F5" w14:textId="77777777" w:rsidR="00773B82" w:rsidRDefault="00773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4" w14:textId="77777777" w:rsidR="00773B82" w:rsidRDefault="00773B82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0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773B82" w14:paraId="2DF54EFC" w14:textId="77777777"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5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EF6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EF7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8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="Ubuntu" w:eastAsia="Ubuntu" w:hAnsi="Ubuntu" w:cs="Ubuntu"/>
              <w:color w:val="009AA6"/>
              <w:sz w:val="16"/>
              <w:szCs w:val="16"/>
            </w:rPr>
          </w:pPr>
          <w:hyperlink r:id="rId2">
            <w:r>
              <w:rPr>
                <w:rFonts w:ascii="Ubuntu" w:eastAsia="Ubuntu" w:hAnsi="Ubuntu" w:cs="Ubuntu"/>
                <w:color w:val="009AA6"/>
                <w:sz w:val="16"/>
                <w:szCs w:val="16"/>
              </w:rPr>
              <w:t>www.riteh.uniri.hr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9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EFA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EFB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</w:tc>
    </w:tr>
  </w:tbl>
  <w:p w14:paraId="2DF54EFD" w14:textId="7FD929DC" w:rsidR="00773B82" w:rsidRDefault="00773B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Ubuntu" w:eastAsia="Ubuntu" w:hAnsi="Ubuntu" w:cs="Ubuntu"/>
        <w:color w:val="666666"/>
        <w:sz w:val="16"/>
        <w:szCs w:val="16"/>
      </w:rPr>
    </w:pPr>
    <w:r>
      <w:rPr>
        <w:rFonts w:ascii="Ubuntu" w:eastAsia="Ubuntu" w:hAnsi="Ubuntu" w:cs="Ubuntu"/>
        <w:color w:val="666666"/>
        <w:sz w:val="16"/>
        <w:szCs w:val="16"/>
      </w:rPr>
      <w:fldChar w:fldCharType="begin"/>
    </w:r>
    <w:r>
      <w:rPr>
        <w:rFonts w:ascii="Ubuntu" w:eastAsia="Ubuntu" w:hAnsi="Ubuntu" w:cs="Ubuntu"/>
        <w:color w:val="666666"/>
        <w:sz w:val="16"/>
        <w:szCs w:val="16"/>
      </w:rPr>
      <w:instrText>PAGE</w:instrText>
    </w:r>
    <w:r>
      <w:rPr>
        <w:rFonts w:ascii="Ubuntu" w:eastAsia="Ubuntu" w:hAnsi="Ubuntu" w:cs="Ubuntu"/>
        <w:color w:val="666666"/>
        <w:sz w:val="16"/>
        <w:szCs w:val="16"/>
      </w:rPr>
      <w:fldChar w:fldCharType="separate"/>
    </w:r>
    <w:r w:rsidR="00C45D70">
      <w:rPr>
        <w:rFonts w:ascii="Ubuntu" w:eastAsia="Ubuntu" w:hAnsi="Ubuntu" w:cs="Ubuntu"/>
        <w:noProof/>
        <w:color w:val="666666"/>
        <w:sz w:val="16"/>
        <w:szCs w:val="16"/>
      </w:rPr>
      <w:t>1</w:t>
    </w:r>
    <w:r>
      <w:rPr>
        <w:rFonts w:ascii="Ubuntu" w:eastAsia="Ubuntu" w:hAnsi="Ubuntu" w:cs="Ubuntu"/>
        <w:color w:val="66666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F03" w14:textId="77777777" w:rsidR="00773B82" w:rsidRDefault="00773B82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1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773B82" w14:paraId="2DF54F0C" w14:textId="77777777"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4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F05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F06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dekanat@riteh.hr</w:t>
            </w:r>
          </w:hyperlink>
          <w:r>
            <w:rPr>
              <w:rFonts w:ascii="Ubuntu" w:eastAsia="Ubuntu" w:hAnsi="Ubuntu" w:cs="Ubuntu"/>
              <w:color w:val="434343"/>
              <w:sz w:val="16"/>
              <w:szCs w:val="16"/>
            </w:rPr>
            <w:br/>
          </w:r>
          <w:hyperlink r:id="rId2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www.riteh.uniri.hr</w:t>
            </w:r>
          </w:hyperlink>
        </w:p>
      </w:tc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7" w14:textId="77777777" w:rsidR="00773B82" w:rsidRDefault="00773B82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8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F09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F0A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  <w:p w14:paraId="2DF54F0B" w14:textId="77777777" w:rsidR="00773B82" w:rsidRDefault="00773B82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</w:tr>
  </w:tbl>
  <w:p w14:paraId="2DF54F0D" w14:textId="77777777" w:rsidR="00773B82" w:rsidRDefault="00773B82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1F4E7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75AEF" w14:textId="77777777" w:rsidR="00360A75" w:rsidRDefault="00360A75">
      <w:pPr>
        <w:spacing w:after="0" w:line="240" w:lineRule="auto"/>
      </w:pPr>
      <w:r>
        <w:separator/>
      </w:r>
    </w:p>
  </w:footnote>
  <w:footnote w:type="continuationSeparator" w:id="0">
    <w:p w14:paraId="7A470963" w14:textId="77777777" w:rsidR="00360A75" w:rsidRDefault="0036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C810E" w14:textId="77777777" w:rsidR="00773B82" w:rsidRDefault="00773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EF" w14:textId="77777777" w:rsidR="00773B82" w:rsidRDefault="00773B82">
    <w:pPr>
      <w:tabs>
        <w:tab w:val="center" w:pos="4680"/>
        <w:tab w:val="right" w:pos="9360"/>
      </w:tabs>
      <w:spacing w:after="0" w:line="240" w:lineRule="auto"/>
    </w:pPr>
  </w:p>
  <w:tbl>
    <w:tblPr>
      <w:tblStyle w:val="a2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773B82" w14:paraId="2DF54EF2" w14:textId="77777777"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0" w14:textId="77777777" w:rsidR="00773B82" w:rsidRDefault="00773B82">
          <w:pPr>
            <w:tabs>
              <w:tab w:val="left" w:pos="1185"/>
            </w:tabs>
            <w:spacing w:line="240" w:lineRule="auto"/>
          </w:pPr>
          <w:r>
            <w:rPr>
              <w:noProof/>
              <w:lang w:val="en-US" w:eastAsia="en-US"/>
            </w:rPr>
            <w:drawing>
              <wp:inline distT="114300" distB="114300" distL="114300" distR="114300" wp14:anchorId="2DF54F0E" wp14:editId="2DF54F0F">
                <wp:extent cx="1835086" cy="497249"/>
                <wp:effectExtent l="0" t="0" r="0" b="0"/>
                <wp:docPr id="9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086" cy="497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EF1" w14:textId="77777777" w:rsidR="00773B82" w:rsidRDefault="00773B82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val="en-US" w:eastAsia="en-US"/>
            </w:rPr>
            <w:drawing>
              <wp:inline distT="0" distB="0" distL="0" distR="0" wp14:anchorId="2DF54F10" wp14:editId="2DF54F11">
                <wp:extent cx="327721" cy="441420"/>
                <wp:effectExtent l="0" t="0" r="0" b="0"/>
                <wp:docPr id="9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EF3" w14:textId="77777777" w:rsidR="00773B82" w:rsidRDefault="00773B8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E" w14:textId="77777777" w:rsidR="00773B82" w:rsidRDefault="00773B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tbl>
    <w:tblPr>
      <w:tblStyle w:val="a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773B82" w14:paraId="2DF54F01" w14:textId="77777777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F" w14:textId="77777777" w:rsidR="00773B82" w:rsidRDefault="00773B82">
          <w:pPr>
            <w:tabs>
              <w:tab w:val="left" w:pos="1185"/>
            </w:tabs>
            <w:spacing w:line="240" w:lineRule="auto"/>
            <w:jc w:val="center"/>
          </w:pPr>
          <w:bookmarkStart w:id="2" w:name="_heading=h.gjdgxs" w:colFirst="0" w:colLast="0"/>
          <w:bookmarkEnd w:id="2"/>
          <w:r>
            <w:rPr>
              <w:noProof/>
              <w:lang w:val="en-US" w:eastAsia="en-US"/>
            </w:rPr>
            <w:drawing>
              <wp:anchor distT="0" distB="0" distL="0" distR="0" simplePos="0" relativeHeight="251658240" behindDoc="0" locked="0" layoutInCell="1" hidden="0" allowOverlap="1" wp14:anchorId="2DF54F12" wp14:editId="2DF54F13">
                <wp:simplePos x="0" y="0"/>
                <wp:positionH relativeFrom="column">
                  <wp:posOffset>47625</wp:posOffset>
                </wp:positionH>
                <wp:positionV relativeFrom="paragraph">
                  <wp:posOffset>-43335</wp:posOffset>
                </wp:positionV>
                <wp:extent cx="2043492" cy="492408"/>
                <wp:effectExtent l="0" t="0" r="0" b="0"/>
                <wp:wrapSquare wrapText="bothSides" distT="0" distB="0" distL="0" distR="0"/>
                <wp:docPr id="92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l="485" r="4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92" cy="4924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F00" w14:textId="77777777" w:rsidR="00773B82" w:rsidRDefault="00773B82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val="en-US" w:eastAsia="en-US"/>
            </w:rPr>
            <w:drawing>
              <wp:inline distT="0" distB="0" distL="0" distR="0" wp14:anchorId="2DF54F14" wp14:editId="2DF54F15">
                <wp:extent cx="327721" cy="441420"/>
                <wp:effectExtent l="0" t="0" r="0" b="0"/>
                <wp:docPr id="9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F02" w14:textId="77777777" w:rsidR="00773B82" w:rsidRDefault="00773B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62B1"/>
    <w:multiLevelType w:val="hybridMultilevel"/>
    <w:tmpl w:val="DF30E598"/>
    <w:lvl w:ilvl="0" w:tplc="E36679B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02666"/>
    <w:multiLevelType w:val="hybridMultilevel"/>
    <w:tmpl w:val="10ACF520"/>
    <w:lvl w:ilvl="0" w:tplc="8ABE00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3C01"/>
    <w:multiLevelType w:val="hybridMultilevel"/>
    <w:tmpl w:val="14066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236E1"/>
    <w:multiLevelType w:val="hybridMultilevel"/>
    <w:tmpl w:val="67DC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97863"/>
    <w:multiLevelType w:val="hybridMultilevel"/>
    <w:tmpl w:val="7BB8CE8E"/>
    <w:lvl w:ilvl="0" w:tplc="DD5255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5184"/>
    <w:multiLevelType w:val="singleLevel"/>
    <w:tmpl w:val="1434840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A92993"/>
    <w:multiLevelType w:val="hybridMultilevel"/>
    <w:tmpl w:val="0E08B378"/>
    <w:lvl w:ilvl="0" w:tplc="409C0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CB2BFD"/>
    <w:multiLevelType w:val="hybridMultilevel"/>
    <w:tmpl w:val="83D6417E"/>
    <w:lvl w:ilvl="0" w:tplc="C72A3E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76C6A"/>
    <w:multiLevelType w:val="hybridMultilevel"/>
    <w:tmpl w:val="683AD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25999"/>
    <w:multiLevelType w:val="hybridMultilevel"/>
    <w:tmpl w:val="A1C6AF52"/>
    <w:lvl w:ilvl="0" w:tplc="C3DEB4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1E91"/>
    <w:multiLevelType w:val="hybridMultilevel"/>
    <w:tmpl w:val="1098D6D0"/>
    <w:lvl w:ilvl="0" w:tplc="A1746F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43EA7"/>
    <w:multiLevelType w:val="hybridMultilevel"/>
    <w:tmpl w:val="4AE0C738"/>
    <w:lvl w:ilvl="0" w:tplc="A178EC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2142D"/>
    <w:multiLevelType w:val="hybridMultilevel"/>
    <w:tmpl w:val="67DC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F205A"/>
    <w:multiLevelType w:val="hybridMultilevel"/>
    <w:tmpl w:val="93140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22771"/>
    <w:multiLevelType w:val="hybridMultilevel"/>
    <w:tmpl w:val="CA0A7C94"/>
    <w:lvl w:ilvl="0" w:tplc="DBA6F0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631B5"/>
    <w:multiLevelType w:val="hybridMultilevel"/>
    <w:tmpl w:val="B262F8AA"/>
    <w:lvl w:ilvl="0" w:tplc="E0FCD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C0555"/>
    <w:multiLevelType w:val="hybridMultilevel"/>
    <w:tmpl w:val="8CBEEABC"/>
    <w:lvl w:ilvl="0" w:tplc="C400E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14"/>
  </w:num>
  <w:num w:numId="8">
    <w:abstractNumId w:val="15"/>
  </w:num>
  <w:num w:numId="9">
    <w:abstractNumId w:val="10"/>
  </w:num>
  <w:num w:numId="10">
    <w:abstractNumId w:val="2"/>
  </w:num>
  <w:num w:numId="11">
    <w:abstractNumId w:val="8"/>
  </w:num>
  <w:num w:numId="12">
    <w:abstractNumId w:val="11"/>
  </w:num>
  <w:num w:numId="13">
    <w:abstractNumId w:val="13"/>
  </w:num>
  <w:num w:numId="14">
    <w:abstractNumId w:val="7"/>
  </w:num>
  <w:num w:numId="15">
    <w:abstractNumId w:val="9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7C"/>
    <w:rsid w:val="00004088"/>
    <w:rsid w:val="000226D8"/>
    <w:rsid w:val="000262F2"/>
    <w:rsid w:val="00057DCF"/>
    <w:rsid w:val="000729A2"/>
    <w:rsid w:val="0009550F"/>
    <w:rsid w:val="00095720"/>
    <w:rsid w:val="000A001B"/>
    <w:rsid w:val="000C23E0"/>
    <w:rsid w:val="000C5351"/>
    <w:rsid w:val="000D0B7F"/>
    <w:rsid w:val="000E58A9"/>
    <w:rsid w:val="0010443C"/>
    <w:rsid w:val="00126202"/>
    <w:rsid w:val="001305C2"/>
    <w:rsid w:val="00133B34"/>
    <w:rsid w:val="0014044E"/>
    <w:rsid w:val="00141A03"/>
    <w:rsid w:val="00143C56"/>
    <w:rsid w:val="001546A6"/>
    <w:rsid w:val="001673BC"/>
    <w:rsid w:val="00170D79"/>
    <w:rsid w:val="001A0096"/>
    <w:rsid w:val="001A0211"/>
    <w:rsid w:val="001A612F"/>
    <w:rsid w:val="001B0CF6"/>
    <w:rsid w:val="001C2E89"/>
    <w:rsid w:val="001C4272"/>
    <w:rsid w:val="001E4395"/>
    <w:rsid w:val="001F3F4C"/>
    <w:rsid w:val="001F6404"/>
    <w:rsid w:val="002036B9"/>
    <w:rsid w:val="00220550"/>
    <w:rsid w:val="00225368"/>
    <w:rsid w:val="0022621B"/>
    <w:rsid w:val="002330F5"/>
    <w:rsid w:val="00285124"/>
    <w:rsid w:val="002B3552"/>
    <w:rsid w:val="002E05B4"/>
    <w:rsid w:val="002F4CEB"/>
    <w:rsid w:val="002F5131"/>
    <w:rsid w:val="0030163A"/>
    <w:rsid w:val="00301DB1"/>
    <w:rsid w:val="00327519"/>
    <w:rsid w:val="003375A9"/>
    <w:rsid w:val="00352967"/>
    <w:rsid w:val="00360A75"/>
    <w:rsid w:val="0036640B"/>
    <w:rsid w:val="00377052"/>
    <w:rsid w:val="00386269"/>
    <w:rsid w:val="003B5A7C"/>
    <w:rsid w:val="003C1867"/>
    <w:rsid w:val="00423F90"/>
    <w:rsid w:val="00427B45"/>
    <w:rsid w:val="00454045"/>
    <w:rsid w:val="00474A18"/>
    <w:rsid w:val="0048160C"/>
    <w:rsid w:val="004B6662"/>
    <w:rsid w:val="004C5B84"/>
    <w:rsid w:val="004F1F5F"/>
    <w:rsid w:val="004F7312"/>
    <w:rsid w:val="005129FF"/>
    <w:rsid w:val="00530D93"/>
    <w:rsid w:val="005313CF"/>
    <w:rsid w:val="00533C7D"/>
    <w:rsid w:val="00561A19"/>
    <w:rsid w:val="00583943"/>
    <w:rsid w:val="005C354B"/>
    <w:rsid w:val="005D0FE1"/>
    <w:rsid w:val="00600BC8"/>
    <w:rsid w:val="00634A97"/>
    <w:rsid w:val="0063618B"/>
    <w:rsid w:val="00694549"/>
    <w:rsid w:val="006A780A"/>
    <w:rsid w:val="006C095F"/>
    <w:rsid w:val="006C3BA3"/>
    <w:rsid w:val="006D4120"/>
    <w:rsid w:val="006D6037"/>
    <w:rsid w:val="006E74E3"/>
    <w:rsid w:val="00705D44"/>
    <w:rsid w:val="007167C8"/>
    <w:rsid w:val="007215D1"/>
    <w:rsid w:val="00727880"/>
    <w:rsid w:val="00752226"/>
    <w:rsid w:val="00773B82"/>
    <w:rsid w:val="00775674"/>
    <w:rsid w:val="007B58B0"/>
    <w:rsid w:val="0081040F"/>
    <w:rsid w:val="008712FF"/>
    <w:rsid w:val="00885D25"/>
    <w:rsid w:val="008B3019"/>
    <w:rsid w:val="008C4D8F"/>
    <w:rsid w:val="008F71C3"/>
    <w:rsid w:val="00914CA8"/>
    <w:rsid w:val="009325D2"/>
    <w:rsid w:val="009340BB"/>
    <w:rsid w:val="009425AE"/>
    <w:rsid w:val="00961EE2"/>
    <w:rsid w:val="009A0289"/>
    <w:rsid w:val="009A73F8"/>
    <w:rsid w:val="009B413D"/>
    <w:rsid w:val="009C51F0"/>
    <w:rsid w:val="009D41AC"/>
    <w:rsid w:val="009F2496"/>
    <w:rsid w:val="00A15F87"/>
    <w:rsid w:val="00A657BB"/>
    <w:rsid w:val="00A914E7"/>
    <w:rsid w:val="00AA60C3"/>
    <w:rsid w:val="00AD20B2"/>
    <w:rsid w:val="00B06F37"/>
    <w:rsid w:val="00B276CE"/>
    <w:rsid w:val="00B66ADC"/>
    <w:rsid w:val="00B965C8"/>
    <w:rsid w:val="00BA050B"/>
    <w:rsid w:val="00BA687C"/>
    <w:rsid w:val="00BB00AD"/>
    <w:rsid w:val="00BB2270"/>
    <w:rsid w:val="00BB5B74"/>
    <w:rsid w:val="00BC7A7C"/>
    <w:rsid w:val="00BE0294"/>
    <w:rsid w:val="00BF1F12"/>
    <w:rsid w:val="00C10B49"/>
    <w:rsid w:val="00C2110E"/>
    <w:rsid w:val="00C45380"/>
    <w:rsid w:val="00C45D70"/>
    <w:rsid w:val="00C80C25"/>
    <w:rsid w:val="00C92FD8"/>
    <w:rsid w:val="00CA18D0"/>
    <w:rsid w:val="00CC1352"/>
    <w:rsid w:val="00D046CA"/>
    <w:rsid w:val="00D45E86"/>
    <w:rsid w:val="00D70C50"/>
    <w:rsid w:val="00D91420"/>
    <w:rsid w:val="00D9663A"/>
    <w:rsid w:val="00DA097C"/>
    <w:rsid w:val="00DC4C72"/>
    <w:rsid w:val="00DD2A42"/>
    <w:rsid w:val="00E05BAF"/>
    <w:rsid w:val="00E25F82"/>
    <w:rsid w:val="00E263DC"/>
    <w:rsid w:val="00E32173"/>
    <w:rsid w:val="00E5179A"/>
    <w:rsid w:val="00E52145"/>
    <w:rsid w:val="00E647BB"/>
    <w:rsid w:val="00E6485C"/>
    <w:rsid w:val="00E76727"/>
    <w:rsid w:val="00ED3FE8"/>
    <w:rsid w:val="00EE2639"/>
    <w:rsid w:val="00F157B1"/>
    <w:rsid w:val="00F427F4"/>
    <w:rsid w:val="00F544B2"/>
    <w:rsid w:val="00F65FC9"/>
    <w:rsid w:val="00F709A9"/>
    <w:rsid w:val="00F72050"/>
    <w:rsid w:val="00F8397F"/>
    <w:rsid w:val="00FA11A3"/>
    <w:rsid w:val="00FC1306"/>
    <w:rsid w:val="00FD2D55"/>
    <w:rsid w:val="00FD486D"/>
    <w:rsid w:val="00FE2EEC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54EC0"/>
  <w15:docId w15:val="{614A5D66-0B04-4580-8CE8-746863FA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252"/>
    <w:rPr>
      <w:lang w:val="hr-HR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0DA4"/>
  </w:style>
  <w:style w:type="paragraph" w:styleId="Footer">
    <w:name w:val="footer"/>
    <w:basedOn w:val="Normal"/>
    <w:link w:val="FooterChar"/>
    <w:uiPriority w:val="99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A4"/>
  </w:style>
  <w:style w:type="table" w:styleId="TableGrid">
    <w:name w:val="Table Grid"/>
    <w:basedOn w:val="TableNormal"/>
    <w:uiPriority w:val="39"/>
    <w:rsid w:val="00AF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3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3F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ption">
    <w:name w:val="caption"/>
    <w:basedOn w:val="Normal"/>
    <w:next w:val="Normal"/>
    <w:qFormat/>
    <w:rsid w:val="00FC130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DocumentMap">
    <w:name w:val="Document Map"/>
    <w:basedOn w:val="Normal"/>
    <w:link w:val="DocumentMapChar"/>
    <w:semiHidden/>
    <w:rsid w:val="00FC130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FC1306"/>
    <w:rPr>
      <w:rFonts w:ascii="Tahoma" w:eastAsia="Times New Roman" w:hAnsi="Tahoma" w:cs="Times New Roman"/>
      <w:sz w:val="24"/>
      <w:szCs w:val="20"/>
      <w:shd w:val="clear" w:color="auto" w:fill="000080"/>
      <w:lang w:val="en-AU" w:eastAsia="hr-HR"/>
    </w:rPr>
  </w:style>
  <w:style w:type="paragraph" w:styleId="BodyText">
    <w:name w:val="Body Text"/>
    <w:basedOn w:val="Normal"/>
    <w:link w:val="BodyTextChar"/>
    <w:rsid w:val="00FC13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FC1306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BalloonText">
    <w:name w:val="Balloon Text"/>
    <w:basedOn w:val="Normal"/>
    <w:link w:val="BalloonTextChar"/>
    <w:semiHidden/>
    <w:rsid w:val="00FC1306"/>
    <w:pPr>
      <w:spacing w:after="0" w:line="240" w:lineRule="auto"/>
    </w:pPr>
    <w:rPr>
      <w:rFonts w:ascii="Tahoma" w:eastAsia="Times New Roman" w:hAnsi="Tahoma" w:cs="Tahoma"/>
      <w:sz w:val="16"/>
      <w:szCs w:val="16"/>
      <w:lang w:val="en-AU"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FC1306"/>
    <w:rPr>
      <w:rFonts w:ascii="Tahoma" w:eastAsia="Times New Roman" w:hAnsi="Tahoma" w:cs="Tahoma"/>
      <w:sz w:val="16"/>
      <w:szCs w:val="16"/>
      <w:lang w:val="en-AU" w:eastAsia="hr-HR"/>
    </w:rPr>
  </w:style>
  <w:style w:type="paragraph" w:styleId="PlainText">
    <w:name w:val="Plain Text"/>
    <w:basedOn w:val="Normal"/>
    <w:link w:val="PlainTextChar"/>
    <w:uiPriority w:val="99"/>
    <w:unhideWhenUsed/>
    <w:rsid w:val="00BF1F12"/>
    <w:pPr>
      <w:spacing w:after="0" w:line="240" w:lineRule="auto"/>
    </w:pPr>
    <w:rPr>
      <w:rFonts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F1F12"/>
    <w:rPr>
      <w:rFonts w:cs="Times New Roman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MR2WcArGMHaDOxU4nptLVvotA==">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53015-4d95-4b35-9338-ea9d460552fb">
      <Terms xmlns="http://schemas.microsoft.com/office/infopath/2007/PartnerControls"/>
    </lcf76f155ced4ddcb4097134ff3c332f>
    <TaxCatchAll xmlns="7e824e94-1d8a-45c0-980e-5bb4f2dcdd9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73DC33EFAA34DBA1F56864DABFA20" ma:contentTypeVersion="14" ma:contentTypeDescription="Create a new document." ma:contentTypeScope="" ma:versionID="6d521c8f97aa9ad0bba057d1226cecb8">
  <xsd:schema xmlns:xsd="http://www.w3.org/2001/XMLSchema" xmlns:xs="http://www.w3.org/2001/XMLSchema" xmlns:p="http://schemas.microsoft.com/office/2006/metadata/properties" xmlns:ns2="3cc53015-4d95-4b35-9338-ea9d460552fb" xmlns:ns3="7e824e94-1d8a-45c0-980e-5bb4f2dcdd9f" targetNamespace="http://schemas.microsoft.com/office/2006/metadata/properties" ma:root="true" ma:fieldsID="8b1fb510f1ef6c0c94baf9bdd5d24019" ns2:_="" ns3:_="">
    <xsd:import namespace="3cc53015-4d95-4b35-9338-ea9d460552fb"/>
    <xsd:import namespace="7e824e94-1d8a-45c0-980e-5bb4f2dcdd9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3015-4d95-4b35-9338-ea9d460552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3f066e4-20f1-4365-b709-2cd703fce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24e94-1d8a-45c0-980e-5bb4f2dcdd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377fc8-170f-4026-9a45-ba79da04cfd2}" ma:internalName="TaxCatchAll" ma:showField="CatchAllData" ma:web="7e824e94-1d8a-45c0-980e-5bb4f2dcd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DAF4F2-8391-437B-BB99-C8FAD4B5E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81955-6059-4D30-A88F-5325DD0413D3}">
  <ds:schemaRefs>
    <ds:schemaRef ds:uri="http://schemas.microsoft.com/office/2006/metadata/properties"/>
    <ds:schemaRef ds:uri="http://schemas.microsoft.com/office/infopath/2007/PartnerControls"/>
    <ds:schemaRef ds:uri="3cc53015-4d95-4b35-9338-ea9d460552fb"/>
    <ds:schemaRef ds:uri="7e824e94-1d8a-45c0-980e-5bb4f2dcdd9f"/>
  </ds:schemaRefs>
</ds:datastoreItem>
</file>

<file path=customXml/itemProps4.xml><?xml version="1.0" encoding="utf-8"?>
<ds:datastoreItem xmlns:ds="http://schemas.openxmlformats.org/officeDocument/2006/customXml" ds:itemID="{58658006-AC8E-4D58-B942-5C6CB15E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3015-4d95-4b35-9338-ea9d460552fb"/>
    <ds:schemaRef ds:uri="7e824e94-1d8a-45c0-980e-5bb4f2dcd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1BE85F-1727-4A0E-9162-031073FA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8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Štajduhar</dc:creator>
  <cp:lastModifiedBy>Ana Mirković Pavlović</cp:lastModifiedBy>
  <cp:revision>28</cp:revision>
  <cp:lastPrinted>2025-02-10T09:19:00Z</cp:lastPrinted>
  <dcterms:created xsi:type="dcterms:W3CDTF">2025-02-07T12:01:00Z</dcterms:created>
  <dcterms:modified xsi:type="dcterms:W3CDTF">2026-04-17T16:10:00Z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0x01010015973DC33EFAA34DBA1F56864DABFA20</vt:lpwstr>
  </property>
</Properties>
</file>