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E6FBB">
        <w:tblPrEx>
          <w:tblCellMar>
            <w:top w:w="0" w:type="dxa"/>
            <w:bottom w:w="0" w:type="dxa"/>
          </w:tblCellMar>
        </w:tblPrEx>
        <w:trPr>
          <w:tblCellSpacing w:w="60" w:type="dxa"/>
        </w:trPr>
        <w:tc>
          <w:tcPr>
            <w:tcW w:w="1200" w:type="pct"/>
            <w:shd w:val="clear" w:color="auto" w:fill="E7F0F9"/>
          </w:tcPr>
          <w:p w:rsidR="000E6FBB" w:rsidRDefault="002B75C4">
            <w:pPr>
              <w:spacing w:after="0" w:line="240" w:lineRule="auto"/>
            </w:pPr>
            <w:bookmarkStart w:id="0" w:name="_GoBack"/>
            <w:bookmarkEnd w:id="0"/>
            <w:r>
              <w:rPr>
                <w:b/>
              </w:rPr>
              <w:t>RKP broj</w:t>
            </w:r>
          </w:p>
        </w:tc>
        <w:tc>
          <w:tcPr>
            <w:tcW w:w="0" w:type="auto"/>
            <w:shd w:val="clear" w:color="auto" w:fill="E7F0F9"/>
          </w:tcPr>
          <w:p w:rsidR="000E6FBB" w:rsidRDefault="002B75C4">
            <w:pPr>
              <w:spacing w:after="0" w:line="240" w:lineRule="auto"/>
            </w:pPr>
            <w:r>
              <w:t>2151</w:t>
            </w:r>
          </w:p>
        </w:tc>
      </w:tr>
      <w:tr w:rsidR="000E6FBB">
        <w:tblPrEx>
          <w:tblCellMar>
            <w:top w:w="0" w:type="dxa"/>
            <w:bottom w:w="0" w:type="dxa"/>
          </w:tblCellMar>
        </w:tblPrEx>
        <w:trPr>
          <w:tblCellSpacing w:w="60" w:type="dxa"/>
        </w:trPr>
        <w:tc>
          <w:tcPr>
            <w:tcW w:w="1200" w:type="pct"/>
            <w:shd w:val="clear" w:color="auto" w:fill="E7F0F9"/>
          </w:tcPr>
          <w:p w:rsidR="000E6FBB" w:rsidRDefault="002B75C4">
            <w:pPr>
              <w:spacing w:after="0" w:line="240" w:lineRule="auto"/>
            </w:pPr>
            <w:r>
              <w:rPr>
                <w:b/>
              </w:rPr>
              <w:t>Naziv obveznika</w:t>
            </w:r>
          </w:p>
        </w:tc>
        <w:tc>
          <w:tcPr>
            <w:tcW w:w="0" w:type="auto"/>
            <w:shd w:val="clear" w:color="auto" w:fill="E7F0F9"/>
          </w:tcPr>
          <w:p w:rsidR="000E6FBB" w:rsidRDefault="002B75C4">
            <w:pPr>
              <w:spacing w:after="0" w:line="240" w:lineRule="auto"/>
            </w:pPr>
            <w:r>
              <w:t>SVEUČILIŠTE U RIJECI - TEHNIČKI FAKULTET</w:t>
            </w:r>
          </w:p>
        </w:tc>
      </w:tr>
      <w:tr w:rsidR="000E6FBB">
        <w:tblPrEx>
          <w:tblCellMar>
            <w:top w:w="0" w:type="dxa"/>
            <w:bottom w:w="0" w:type="dxa"/>
          </w:tblCellMar>
        </w:tblPrEx>
        <w:trPr>
          <w:tblCellSpacing w:w="60" w:type="dxa"/>
        </w:trPr>
        <w:tc>
          <w:tcPr>
            <w:tcW w:w="1200" w:type="pct"/>
            <w:shd w:val="clear" w:color="auto" w:fill="E7F0F9"/>
          </w:tcPr>
          <w:p w:rsidR="000E6FBB" w:rsidRDefault="002B75C4">
            <w:pPr>
              <w:spacing w:after="0" w:line="240" w:lineRule="auto"/>
            </w:pPr>
            <w:r>
              <w:rPr>
                <w:b/>
              </w:rPr>
              <w:t>Razina</w:t>
            </w:r>
          </w:p>
        </w:tc>
        <w:tc>
          <w:tcPr>
            <w:tcW w:w="0" w:type="auto"/>
            <w:shd w:val="clear" w:color="auto" w:fill="E7F0F9"/>
          </w:tcPr>
          <w:p w:rsidR="000E6FBB" w:rsidRDefault="002B75C4">
            <w:pPr>
              <w:spacing w:after="0" w:line="240" w:lineRule="auto"/>
            </w:pPr>
            <w:r>
              <w:t>11</w:t>
            </w:r>
          </w:p>
        </w:tc>
      </w:tr>
    </w:tbl>
    <w:p w:rsidR="000E6FBB" w:rsidRDefault="002B75C4">
      <w:r>
        <w:br/>
      </w:r>
    </w:p>
    <w:p w:rsidR="000E6FBB" w:rsidRDefault="002B75C4">
      <w:pPr>
        <w:spacing w:line="240" w:lineRule="auto"/>
        <w:jc w:val="center"/>
      </w:pPr>
      <w:r>
        <w:rPr>
          <w:b/>
          <w:sz w:val="28"/>
        </w:rPr>
        <w:t>BILJEŠKE UZ FINANCIJSKE IZVJEŠTAJE</w:t>
      </w:r>
    </w:p>
    <w:p w:rsidR="000E6FBB" w:rsidRDefault="002B75C4">
      <w:pPr>
        <w:spacing w:line="240" w:lineRule="auto"/>
        <w:jc w:val="center"/>
      </w:pPr>
      <w:r>
        <w:rPr>
          <w:b/>
          <w:sz w:val="28"/>
        </w:rPr>
        <w:t>ZA RAZDOBLJE</w:t>
      </w:r>
    </w:p>
    <w:p w:rsidR="000E6FBB" w:rsidRDefault="002B75C4">
      <w:pPr>
        <w:spacing w:line="240" w:lineRule="auto"/>
        <w:jc w:val="center"/>
      </w:pPr>
      <w:r>
        <w:rPr>
          <w:b/>
          <w:sz w:val="28"/>
        </w:rPr>
        <w:t>I - XII 2025.</w:t>
      </w:r>
    </w:p>
    <w:p w:rsidR="000E6FBB" w:rsidRDefault="000E6FBB"/>
    <w:p w:rsidR="000E6FBB" w:rsidRDefault="002B75C4">
      <w:pPr>
        <w:keepNext/>
        <w:spacing w:line="240" w:lineRule="auto"/>
        <w:jc w:val="center"/>
      </w:pPr>
      <w:r>
        <w:rPr>
          <w:b/>
          <w:sz w:val="28"/>
        </w:rPr>
        <w:lastRenderedPageBreak/>
        <w:t>Izvještaj o prihodima i rashodima, primicima i izdacima</w:t>
      </w:r>
    </w:p>
    <w:p w:rsidR="000E6FBB" w:rsidRDefault="002B75C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w:t>
            </w:r>
          </w:p>
        </w:tc>
        <w:tc>
          <w:tcPr>
            <w:tcW w:w="3180" w:type="dxa"/>
            <w:tcMar>
              <w:top w:w="0" w:type="dxa"/>
              <w:bottom w:w="0" w:type="dxa"/>
            </w:tcMar>
            <w:vAlign w:val="center"/>
          </w:tcPr>
          <w:p w:rsidR="000E6FBB" w:rsidRDefault="002B75C4">
            <w:pPr>
              <w:keepNext/>
              <w:keepLines/>
              <w:spacing w:after="0" w:line="240" w:lineRule="auto"/>
            </w:pPr>
            <w:r>
              <w:rPr>
                <w:sz w:val="18"/>
              </w:rPr>
              <w:t>PRIHODI POSLOVANJA (šifre 61+62+63+64+65+66+67+68)</w:t>
            </w:r>
          </w:p>
        </w:tc>
        <w:tc>
          <w:tcPr>
            <w:tcW w:w="700" w:type="dxa"/>
            <w:tcMar>
              <w:top w:w="0" w:type="dxa"/>
              <w:bottom w:w="0" w:type="dxa"/>
            </w:tcMar>
            <w:vAlign w:val="center"/>
          </w:tcPr>
          <w:p w:rsidR="000E6FBB" w:rsidRDefault="002B75C4">
            <w:pPr>
              <w:keepNext/>
              <w:keepLines/>
              <w:spacing w:after="0" w:line="240" w:lineRule="auto"/>
            </w:pPr>
            <w:r>
              <w:rPr>
                <w:sz w:val="18"/>
              </w:rPr>
              <w:t>6</w:t>
            </w:r>
          </w:p>
        </w:tc>
        <w:tc>
          <w:tcPr>
            <w:tcW w:w="1860" w:type="dxa"/>
            <w:tcMar>
              <w:top w:w="0" w:type="dxa"/>
              <w:bottom w:w="0" w:type="dxa"/>
            </w:tcMar>
            <w:vAlign w:val="center"/>
          </w:tcPr>
          <w:p w:rsidR="000E6FBB" w:rsidRDefault="002B75C4">
            <w:pPr>
              <w:keepNext/>
              <w:keepLines/>
              <w:spacing w:after="0" w:line="240" w:lineRule="auto"/>
              <w:jc w:val="right"/>
            </w:pPr>
            <w:r>
              <w:rPr>
                <w:sz w:val="18"/>
              </w:rPr>
              <w:t>9.739.528,91</w:t>
            </w:r>
          </w:p>
        </w:tc>
        <w:tc>
          <w:tcPr>
            <w:tcW w:w="1860" w:type="dxa"/>
            <w:tcMar>
              <w:top w:w="0" w:type="dxa"/>
              <w:bottom w:w="0" w:type="dxa"/>
            </w:tcMar>
            <w:vAlign w:val="center"/>
          </w:tcPr>
          <w:p w:rsidR="000E6FBB" w:rsidRDefault="002B75C4">
            <w:pPr>
              <w:keepNext/>
              <w:keepLines/>
              <w:spacing w:after="0" w:line="240" w:lineRule="auto"/>
              <w:jc w:val="right"/>
            </w:pPr>
            <w:r>
              <w:rPr>
                <w:sz w:val="18"/>
              </w:rPr>
              <w:t>10.622.129,41</w:t>
            </w:r>
          </w:p>
        </w:tc>
        <w:tc>
          <w:tcPr>
            <w:tcW w:w="700" w:type="dxa"/>
            <w:tcMar>
              <w:top w:w="0" w:type="dxa"/>
              <w:bottom w:w="0" w:type="dxa"/>
            </w:tcMar>
            <w:vAlign w:val="center"/>
          </w:tcPr>
          <w:p w:rsidR="000E6FBB" w:rsidRDefault="002B75C4">
            <w:pPr>
              <w:keepNext/>
              <w:keepLines/>
              <w:spacing w:after="0" w:line="240" w:lineRule="auto"/>
              <w:jc w:val="right"/>
            </w:pPr>
            <w:r>
              <w:rPr>
                <w:sz w:val="18"/>
              </w:rPr>
              <w:t>109,1</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w:t>
            </w:r>
          </w:p>
        </w:tc>
        <w:tc>
          <w:tcPr>
            <w:tcW w:w="3180" w:type="dxa"/>
            <w:tcMar>
              <w:top w:w="0" w:type="dxa"/>
              <w:bottom w:w="0" w:type="dxa"/>
            </w:tcMar>
            <w:vAlign w:val="center"/>
          </w:tcPr>
          <w:p w:rsidR="000E6FBB" w:rsidRDefault="002B75C4">
            <w:pPr>
              <w:keepNext/>
              <w:keepLines/>
              <w:spacing w:after="0" w:line="240" w:lineRule="auto"/>
            </w:pPr>
            <w:r>
              <w:rPr>
                <w:sz w:val="18"/>
              </w:rPr>
              <w:t>RASHODI POSLOVANJA (šifre 31+32+34+35+36+37+38)</w:t>
            </w:r>
          </w:p>
        </w:tc>
        <w:tc>
          <w:tcPr>
            <w:tcW w:w="700" w:type="dxa"/>
            <w:tcMar>
              <w:top w:w="0" w:type="dxa"/>
              <w:bottom w:w="0" w:type="dxa"/>
            </w:tcMar>
            <w:vAlign w:val="center"/>
          </w:tcPr>
          <w:p w:rsidR="000E6FBB" w:rsidRDefault="002B75C4">
            <w:pPr>
              <w:keepNext/>
              <w:keepLines/>
              <w:spacing w:after="0" w:line="240" w:lineRule="auto"/>
            </w:pPr>
            <w:r>
              <w:rPr>
                <w:sz w:val="18"/>
              </w:rPr>
              <w:t>3</w:t>
            </w:r>
          </w:p>
        </w:tc>
        <w:tc>
          <w:tcPr>
            <w:tcW w:w="1860" w:type="dxa"/>
            <w:tcMar>
              <w:top w:w="0" w:type="dxa"/>
              <w:bottom w:w="0" w:type="dxa"/>
            </w:tcMar>
            <w:vAlign w:val="center"/>
          </w:tcPr>
          <w:p w:rsidR="000E6FBB" w:rsidRDefault="002B75C4">
            <w:pPr>
              <w:keepNext/>
              <w:keepLines/>
              <w:spacing w:after="0" w:line="240" w:lineRule="auto"/>
              <w:jc w:val="right"/>
            </w:pPr>
            <w:r>
              <w:rPr>
                <w:sz w:val="18"/>
              </w:rPr>
              <w:t>9.571.837,89</w:t>
            </w:r>
          </w:p>
        </w:tc>
        <w:tc>
          <w:tcPr>
            <w:tcW w:w="1860" w:type="dxa"/>
            <w:tcMar>
              <w:top w:w="0" w:type="dxa"/>
              <w:bottom w:w="0" w:type="dxa"/>
            </w:tcMar>
            <w:vAlign w:val="center"/>
          </w:tcPr>
          <w:p w:rsidR="000E6FBB" w:rsidRDefault="002B75C4">
            <w:pPr>
              <w:keepNext/>
              <w:keepLines/>
              <w:spacing w:after="0" w:line="240" w:lineRule="auto"/>
              <w:jc w:val="right"/>
            </w:pPr>
            <w:r>
              <w:rPr>
                <w:sz w:val="18"/>
              </w:rPr>
              <w:t>11.232.681,89</w:t>
            </w:r>
          </w:p>
        </w:tc>
        <w:tc>
          <w:tcPr>
            <w:tcW w:w="700" w:type="dxa"/>
            <w:tcMar>
              <w:top w:w="0" w:type="dxa"/>
              <w:bottom w:w="0" w:type="dxa"/>
            </w:tcMar>
            <w:vAlign w:val="center"/>
          </w:tcPr>
          <w:p w:rsidR="000E6FBB" w:rsidRDefault="002B75C4">
            <w:pPr>
              <w:keepNext/>
              <w:keepLines/>
              <w:spacing w:after="0" w:line="240" w:lineRule="auto"/>
              <w:jc w:val="right"/>
            </w:pPr>
            <w:r>
              <w:rPr>
                <w:sz w:val="18"/>
              </w:rPr>
              <w:t>117,4</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b/>
                <w:sz w:val="18"/>
              </w:rPr>
              <w:t>MANJAK PRIHODA POSLOVANJA (šifre Z005-6)</w:t>
            </w:r>
          </w:p>
        </w:tc>
        <w:tc>
          <w:tcPr>
            <w:tcW w:w="700" w:type="dxa"/>
            <w:tcMar>
              <w:top w:w="0" w:type="dxa"/>
              <w:bottom w:w="0" w:type="dxa"/>
            </w:tcMar>
            <w:vAlign w:val="center"/>
          </w:tcPr>
          <w:p w:rsidR="000E6FBB" w:rsidRDefault="002B75C4">
            <w:pPr>
              <w:keepNext/>
              <w:keepLines/>
              <w:spacing w:after="0" w:line="240" w:lineRule="auto"/>
            </w:pPr>
            <w:r>
              <w:rPr>
                <w:b/>
                <w:sz w:val="18"/>
              </w:rPr>
              <w:t>Y001</w:t>
            </w:r>
          </w:p>
        </w:tc>
        <w:tc>
          <w:tcPr>
            <w:tcW w:w="1860" w:type="dxa"/>
            <w:tcMar>
              <w:top w:w="0" w:type="dxa"/>
              <w:bottom w:w="0" w:type="dxa"/>
            </w:tcMar>
            <w:vAlign w:val="center"/>
          </w:tcPr>
          <w:p w:rsidR="000E6FBB" w:rsidRDefault="002B75C4">
            <w:pPr>
              <w:keepNext/>
              <w:keepLines/>
              <w:spacing w:after="0" w:line="240" w:lineRule="auto"/>
              <w:jc w:val="right"/>
            </w:pPr>
            <w:r>
              <w:rPr>
                <w:b/>
                <w:sz w:val="18"/>
              </w:rPr>
              <w:t>0,00</w:t>
            </w:r>
          </w:p>
        </w:tc>
        <w:tc>
          <w:tcPr>
            <w:tcW w:w="1860" w:type="dxa"/>
            <w:tcMar>
              <w:top w:w="0" w:type="dxa"/>
              <w:bottom w:w="0" w:type="dxa"/>
            </w:tcMar>
            <w:vAlign w:val="center"/>
          </w:tcPr>
          <w:p w:rsidR="000E6FBB" w:rsidRDefault="002B75C4">
            <w:pPr>
              <w:keepNext/>
              <w:keepLines/>
              <w:spacing w:after="0" w:line="240" w:lineRule="auto"/>
              <w:jc w:val="right"/>
            </w:pPr>
            <w:r>
              <w:rPr>
                <w:b/>
                <w:sz w:val="18"/>
              </w:rPr>
              <w:t>610.552,48</w:t>
            </w:r>
          </w:p>
        </w:tc>
        <w:tc>
          <w:tcPr>
            <w:tcW w:w="700" w:type="dxa"/>
            <w:tcMar>
              <w:top w:w="0" w:type="dxa"/>
              <w:bottom w:w="0" w:type="dxa"/>
            </w:tcMar>
            <w:vAlign w:val="center"/>
          </w:tcPr>
          <w:p w:rsidR="000E6FBB" w:rsidRDefault="002B75C4">
            <w:pPr>
              <w:keepNext/>
              <w:keepLines/>
              <w:spacing w:after="0" w:line="240" w:lineRule="auto"/>
              <w:jc w:val="right"/>
            </w:pPr>
            <w:r>
              <w:rPr>
                <w:b/>
                <w:sz w:val="18"/>
              </w:rPr>
              <w:t>-</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7</w:t>
            </w:r>
          </w:p>
        </w:tc>
        <w:tc>
          <w:tcPr>
            <w:tcW w:w="3180" w:type="dxa"/>
            <w:tcMar>
              <w:top w:w="0" w:type="dxa"/>
              <w:bottom w:w="0" w:type="dxa"/>
            </w:tcMar>
            <w:vAlign w:val="center"/>
          </w:tcPr>
          <w:p w:rsidR="000E6FBB" w:rsidRDefault="002B75C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E6FBB" w:rsidRDefault="002B75C4">
            <w:pPr>
              <w:keepNext/>
              <w:keepLines/>
              <w:spacing w:after="0" w:line="240" w:lineRule="auto"/>
            </w:pPr>
            <w:r>
              <w:rPr>
                <w:sz w:val="18"/>
              </w:rPr>
              <w:t>7</w:t>
            </w:r>
          </w:p>
        </w:tc>
        <w:tc>
          <w:tcPr>
            <w:tcW w:w="1860" w:type="dxa"/>
            <w:tcMar>
              <w:top w:w="0" w:type="dxa"/>
              <w:bottom w:w="0" w:type="dxa"/>
            </w:tcMar>
            <w:vAlign w:val="center"/>
          </w:tcPr>
          <w:p w:rsidR="000E6FBB" w:rsidRDefault="002B75C4">
            <w:pPr>
              <w:keepNext/>
              <w:keepLines/>
              <w:spacing w:after="0" w:line="240" w:lineRule="auto"/>
              <w:jc w:val="right"/>
            </w:pPr>
            <w:r>
              <w:rPr>
                <w:sz w:val="18"/>
              </w:rPr>
              <w:t>90.000,00</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0</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4</w:t>
            </w:r>
          </w:p>
        </w:tc>
        <w:tc>
          <w:tcPr>
            <w:tcW w:w="3180" w:type="dxa"/>
            <w:tcMar>
              <w:top w:w="0" w:type="dxa"/>
              <w:bottom w:w="0" w:type="dxa"/>
            </w:tcMar>
            <w:vAlign w:val="center"/>
          </w:tcPr>
          <w:p w:rsidR="000E6FBB" w:rsidRDefault="002B75C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E6FBB" w:rsidRDefault="002B75C4">
            <w:pPr>
              <w:keepNext/>
              <w:keepLines/>
              <w:spacing w:after="0" w:line="240" w:lineRule="auto"/>
            </w:pPr>
            <w:r>
              <w:rPr>
                <w:sz w:val="18"/>
              </w:rPr>
              <w:t>4</w:t>
            </w:r>
          </w:p>
        </w:tc>
        <w:tc>
          <w:tcPr>
            <w:tcW w:w="1860" w:type="dxa"/>
            <w:tcMar>
              <w:top w:w="0" w:type="dxa"/>
              <w:bottom w:w="0" w:type="dxa"/>
            </w:tcMar>
            <w:vAlign w:val="center"/>
          </w:tcPr>
          <w:p w:rsidR="000E6FBB" w:rsidRDefault="002B75C4">
            <w:pPr>
              <w:keepNext/>
              <w:keepLines/>
              <w:spacing w:after="0" w:line="240" w:lineRule="auto"/>
              <w:jc w:val="right"/>
            </w:pPr>
            <w:r>
              <w:rPr>
                <w:sz w:val="18"/>
              </w:rPr>
              <w:t>470.788,69</w:t>
            </w:r>
          </w:p>
        </w:tc>
        <w:tc>
          <w:tcPr>
            <w:tcW w:w="1860" w:type="dxa"/>
            <w:tcMar>
              <w:top w:w="0" w:type="dxa"/>
              <w:bottom w:w="0" w:type="dxa"/>
            </w:tcMar>
            <w:vAlign w:val="center"/>
          </w:tcPr>
          <w:p w:rsidR="000E6FBB" w:rsidRDefault="002B75C4">
            <w:pPr>
              <w:keepNext/>
              <w:keepLines/>
              <w:spacing w:after="0" w:line="240" w:lineRule="auto"/>
              <w:jc w:val="right"/>
            </w:pPr>
            <w:r>
              <w:rPr>
                <w:sz w:val="18"/>
              </w:rPr>
              <w:t>395.208,44</w:t>
            </w:r>
          </w:p>
        </w:tc>
        <w:tc>
          <w:tcPr>
            <w:tcW w:w="700" w:type="dxa"/>
            <w:tcMar>
              <w:top w:w="0" w:type="dxa"/>
              <w:bottom w:w="0" w:type="dxa"/>
            </w:tcMar>
            <w:vAlign w:val="center"/>
          </w:tcPr>
          <w:p w:rsidR="000E6FBB" w:rsidRDefault="002B75C4">
            <w:pPr>
              <w:keepNext/>
              <w:keepLines/>
              <w:spacing w:after="0" w:line="240" w:lineRule="auto"/>
              <w:jc w:val="right"/>
            </w:pPr>
            <w:r>
              <w:rPr>
                <w:sz w:val="18"/>
              </w:rPr>
              <w:t>83,9</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E6FBB" w:rsidRDefault="002B75C4">
            <w:pPr>
              <w:keepNext/>
              <w:keepLines/>
              <w:spacing w:after="0" w:line="240" w:lineRule="auto"/>
            </w:pPr>
            <w:r>
              <w:rPr>
                <w:b/>
                <w:sz w:val="18"/>
              </w:rPr>
              <w:t>Y002</w:t>
            </w:r>
          </w:p>
        </w:tc>
        <w:tc>
          <w:tcPr>
            <w:tcW w:w="1860" w:type="dxa"/>
            <w:tcMar>
              <w:top w:w="0" w:type="dxa"/>
              <w:bottom w:w="0" w:type="dxa"/>
            </w:tcMar>
            <w:vAlign w:val="center"/>
          </w:tcPr>
          <w:p w:rsidR="000E6FBB" w:rsidRDefault="002B75C4">
            <w:pPr>
              <w:keepNext/>
              <w:keepLines/>
              <w:spacing w:after="0" w:line="240" w:lineRule="auto"/>
              <w:jc w:val="right"/>
            </w:pPr>
            <w:r>
              <w:rPr>
                <w:b/>
                <w:sz w:val="18"/>
              </w:rPr>
              <w:t>380.788,69</w:t>
            </w:r>
          </w:p>
        </w:tc>
        <w:tc>
          <w:tcPr>
            <w:tcW w:w="1860" w:type="dxa"/>
            <w:tcMar>
              <w:top w:w="0" w:type="dxa"/>
              <w:bottom w:w="0" w:type="dxa"/>
            </w:tcMar>
            <w:vAlign w:val="center"/>
          </w:tcPr>
          <w:p w:rsidR="000E6FBB" w:rsidRDefault="002B75C4">
            <w:pPr>
              <w:keepNext/>
              <w:keepLines/>
              <w:spacing w:after="0" w:line="240" w:lineRule="auto"/>
              <w:jc w:val="right"/>
            </w:pPr>
            <w:r>
              <w:rPr>
                <w:b/>
                <w:sz w:val="18"/>
              </w:rPr>
              <w:t>395.208,44</w:t>
            </w:r>
          </w:p>
        </w:tc>
        <w:tc>
          <w:tcPr>
            <w:tcW w:w="700" w:type="dxa"/>
            <w:tcMar>
              <w:top w:w="0" w:type="dxa"/>
              <w:bottom w:w="0" w:type="dxa"/>
            </w:tcMar>
            <w:vAlign w:val="center"/>
          </w:tcPr>
          <w:p w:rsidR="000E6FBB" w:rsidRDefault="002B75C4">
            <w:pPr>
              <w:keepNext/>
              <w:keepLines/>
              <w:spacing w:after="0" w:line="240" w:lineRule="auto"/>
              <w:jc w:val="right"/>
            </w:pPr>
            <w:r>
              <w:rPr>
                <w:b/>
                <w:sz w:val="18"/>
              </w:rPr>
              <w:t>103,8</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8</w:t>
            </w:r>
          </w:p>
        </w:tc>
        <w:tc>
          <w:tcPr>
            <w:tcW w:w="3180" w:type="dxa"/>
            <w:tcMar>
              <w:top w:w="0" w:type="dxa"/>
              <w:bottom w:w="0" w:type="dxa"/>
            </w:tcMar>
            <w:vAlign w:val="center"/>
          </w:tcPr>
          <w:p w:rsidR="000E6FBB" w:rsidRDefault="002B75C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E6FBB" w:rsidRDefault="002B75C4">
            <w:pPr>
              <w:keepNext/>
              <w:keepLines/>
              <w:spacing w:after="0" w:line="240" w:lineRule="auto"/>
            </w:pPr>
            <w:r>
              <w:rPr>
                <w:sz w:val="18"/>
              </w:rPr>
              <w:t>8</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5</w:t>
            </w:r>
          </w:p>
        </w:tc>
        <w:tc>
          <w:tcPr>
            <w:tcW w:w="3180" w:type="dxa"/>
            <w:tcMar>
              <w:top w:w="0" w:type="dxa"/>
              <w:bottom w:w="0" w:type="dxa"/>
            </w:tcMar>
            <w:vAlign w:val="center"/>
          </w:tcPr>
          <w:p w:rsidR="000E6FBB" w:rsidRDefault="002B75C4">
            <w:pPr>
              <w:keepNext/>
              <w:keepLines/>
              <w:spacing w:after="0" w:line="240" w:lineRule="auto"/>
            </w:pPr>
            <w:r>
              <w:rPr>
                <w:sz w:val="18"/>
              </w:rPr>
              <w:t>Izdaci za financijsku imovinu i otplate zajmova (šifre</w:t>
            </w:r>
            <w:r>
              <w:rPr>
                <w:sz w:val="18"/>
              </w:rPr>
              <w:t xml:space="preserve"> 51+52+53+54+55)</w:t>
            </w:r>
          </w:p>
        </w:tc>
        <w:tc>
          <w:tcPr>
            <w:tcW w:w="700" w:type="dxa"/>
            <w:tcMar>
              <w:top w:w="0" w:type="dxa"/>
              <w:bottom w:w="0" w:type="dxa"/>
            </w:tcMar>
            <w:vAlign w:val="center"/>
          </w:tcPr>
          <w:p w:rsidR="000E6FBB" w:rsidRDefault="002B75C4">
            <w:pPr>
              <w:keepNext/>
              <w:keepLines/>
              <w:spacing w:after="0" w:line="240" w:lineRule="auto"/>
            </w:pPr>
            <w:r>
              <w:rPr>
                <w:sz w:val="18"/>
              </w:rPr>
              <w:t>5</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E6FBB" w:rsidRDefault="002B75C4">
            <w:pPr>
              <w:keepNext/>
              <w:keepLines/>
              <w:spacing w:after="0" w:line="240" w:lineRule="auto"/>
            </w:pPr>
            <w:r>
              <w:rPr>
                <w:b/>
                <w:sz w:val="18"/>
              </w:rPr>
              <w:t>X003, Y003</w:t>
            </w:r>
          </w:p>
        </w:tc>
        <w:tc>
          <w:tcPr>
            <w:tcW w:w="1860" w:type="dxa"/>
            <w:tcMar>
              <w:top w:w="0" w:type="dxa"/>
              <w:bottom w:w="0" w:type="dxa"/>
            </w:tcMar>
            <w:vAlign w:val="center"/>
          </w:tcPr>
          <w:p w:rsidR="000E6FBB" w:rsidRDefault="002B75C4">
            <w:pPr>
              <w:keepNext/>
              <w:keepLines/>
              <w:spacing w:after="0" w:line="240" w:lineRule="auto"/>
              <w:jc w:val="right"/>
            </w:pPr>
            <w:r>
              <w:rPr>
                <w:b/>
                <w:sz w:val="18"/>
              </w:rPr>
              <w:t>0,00</w:t>
            </w:r>
          </w:p>
        </w:tc>
        <w:tc>
          <w:tcPr>
            <w:tcW w:w="1860" w:type="dxa"/>
            <w:tcMar>
              <w:top w:w="0" w:type="dxa"/>
              <w:bottom w:w="0" w:type="dxa"/>
            </w:tcMar>
            <w:vAlign w:val="center"/>
          </w:tcPr>
          <w:p w:rsidR="000E6FBB" w:rsidRDefault="002B75C4">
            <w:pPr>
              <w:keepNext/>
              <w:keepLines/>
              <w:spacing w:after="0" w:line="240" w:lineRule="auto"/>
              <w:jc w:val="right"/>
            </w:pPr>
            <w:r>
              <w:rPr>
                <w:b/>
                <w:sz w:val="18"/>
              </w:rPr>
              <w:t>0,00</w:t>
            </w:r>
          </w:p>
        </w:tc>
        <w:tc>
          <w:tcPr>
            <w:tcW w:w="700" w:type="dxa"/>
            <w:tcMar>
              <w:top w:w="0" w:type="dxa"/>
              <w:bottom w:w="0" w:type="dxa"/>
            </w:tcMar>
            <w:vAlign w:val="center"/>
          </w:tcPr>
          <w:p w:rsidR="000E6FBB" w:rsidRDefault="002B75C4">
            <w:pPr>
              <w:keepNext/>
              <w:keepLines/>
              <w:spacing w:after="0" w:line="240" w:lineRule="auto"/>
              <w:jc w:val="right"/>
            </w:pPr>
            <w:r>
              <w:rPr>
                <w:b/>
                <w:sz w:val="18"/>
              </w:rPr>
              <w:t>-</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b/>
                <w:sz w:val="18"/>
              </w:rPr>
              <w:t>MANJAK PRIHODA I PRIMITAKA (šifre Y345-X678)</w:t>
            </w:r>
          </w:p>
        </w:tc>
        <w:tc>
          <w:tcPr>
            <w:tcW w:w="700" w:type="dxa"/>
            <w:tcMar>
              <w:top w:w="0" w:type="dxa"/>
              <w:bottom w:w="0" w:type="dxa"/>
            </w:tcMar>
            <w:vAlign w:val="center"/>
          </w:tcPr>
          <w:p w:rsidR="000E6FBB" w:rsidRDefault="002B75C4">
            <w:pPr>
              <w:keepNext/>
              <w:keepLines/>
              <w:spacing w:after="0" w:line="240" w:lineRule="auto"/>
            </w:pPr>
            <w:r>
              <w:rPr>
                <w:b/>
                <w:sz w:val="18"/>
              </w:rPr>
              <w:t>Y005</w:t>
            </w:r>
          </w:p>
        </w:tc>
        <w:tc>
          <w:tcPr>
            <w:tcW w:w="1860" w:type="dxa"/>
            <w:tcMar>
              <w:top w:w="0" w:type="dxa"/>
              <w:bottom w:w="0" w:type="dxa"/>
            </w:tcMar>
            <w:vAlign w:val="center"/>
          </w:tcPr>
          <w:p w:rsidR="000E6FBB" w:rsidRDefault="002B75C4">
            <w:pPr>
              <w:keepNext/>
              <w:keepLines/>
              <w:spacing w:after="0" w:line="240" w:lineRule="auto"/>
              <w:jc w:val="right"/>
            </w:pPr>
            <w:r>
              <w:rPr>
                <w:b/>
                <w:sz w:val="18"/>
              </w:rPr>
              <w:t>213.097,67</w:t>
            </w:r>
          </w:p>
        </w:tc>
        <w:tc>
          <w:tcPr>
            <w:tcW w:w="1860" w:type="dxa"/>
            <w:tcMar>
              <w:top w:w="0" w:type="dxa"/>
              <w:bottom w:w="0" w:type="dxa"/>
            </w:tcMar>
            <w:vAlign w:val="center"/>
          </w:tcPr>
          <w:p w:rsidR="000E6FBB" w:rsidRDefault="002B75C4">
            <w:pPr>
              <w:keepNext/>
              <w:keepLines/>
              <w:spacing w:after="0" w:line="240" w:lineRule="auto"/>
              <w:jc w:val="right"/>
            </w:pPr>
            <w:r>
              <w:rPr>
                <w:b/>
                <w:sz w:val="18"/>
              </w:rPr>
              <w:t>1.005.760,92</w:t>
            </w:r>
          </w:p>
        </w:tc>
        <w:tc>
          <w:tcPr>
            <w:tcW w:w="700" w:type="dxa"/>
            <w:tcMar>
              <w:top w:w="0" w:type="dxa"/>
              <w:bottom w:w="0" w:type="dxa"/>
            </w:tcMar>
            <w:vAlign w:val="center"/>
          </w:tcPr>
          <w:p w:rsidR="000E6FBB" w:rsidRDefault="002B75C4">
            <w:pPr>
              <w:keepNext/>
              <w:keepLines/>
              <w:spacing w:after="0" w:line="240" w:lineRule="auto"/>
              <w:jc w:val="right"/>
            </w:pPr>
            <w:r>
              <w:rPr>
                <w:b/>
                <w:sz w:val="18"/>
              </w:rPr>
              <w:t>472,0</w:t>
            </w:r>
          </w:p>
        </w:tc>
      </w:tr>
    </w:tbl>
    <w:p w:rsidR="000E6FBB" w:rsidRDefault="000E6FBB">
      <w:pPr>
        <w:spacing w:after="0"/>
      </w:pPr>
    </w:p>
    <w:p w:rsidR="000E6FBB" w:rsidRDefault="002B75C4">
      <w:r>
        <w:t xml:space="preserve">Tehnički fakultet Sveučilišta u Rijeci, osnovan 08.11.1960. </w:t>
      </w:r>
      <w:proofErr w:type="gramStart"/>
      <w:r>
        <w:t>godine</w:t>
      </w:r>
      <w:proofErr w:type="gramEnd"/>
      <w:r>
        <w:t>, je visokoškolska i znanstveno-istraživačka institucija na području tehničkih znanosti ne samo na Sveučilištu u Rijeci, nego i u regiji u kojoj djeluje, konkurentna na europskom i svjetskom</w:t>
      </w:r>
      <w:r>
        <w:t xml:space="preserve"> tržištu znanja. Fakultet objedinjuje djelatnost 11 zavoda. U sklopu zavoda djeluje 37 katedri i 50 laboratorija. Fakultet izvodi sveučilišne prijediplomske i sveučilišne </w:t>
      </w:r>
      <w:r>
        <w:lastRenderedPageBreak/>
        <w:t xml:space="preserve">diplomske studijske programe na području strojarstva, brodogradnje, elektrotehnike i </w:t>
      </w:r>
      <w:r>
        <w:t>računarstva i stručne prijediplomske studijske programe na području strojarstva, brodogradnje i elektrotehnike, kao i trogodišnji treći ciklus obrazovanja koji omogućava stjecanje doktorata znanosti na području tehničkih znanosti, i to na polju strojarstva</w:t>
      </w:r>
      <w:r>
        <w:t>, brodogradnje, elektrotehnike, temeljnih tehničkih znanosti, interdisciplinarnih tehničkih znanosti i računarstva. Od akademske godine 2024</w:t>
      </w:r>
      <w:proofErr w:type="gramStart"/>
      <w:r>
        <w:t>./</w:t>
      </w:r>
      <w:proofErr w:type="gramEnd"/>
      <w:r>
        <w:t xml:space="preserve">2025. Fakultet izvodi </w:t>
      </w:r>
      <w:proofErr w:type="gramStart"/>
      <w:r>
        <w:t>novi</w:t>
      </w:r>
      <w:proofErr w:type="gramEnd"/>
      <w:r>
        <w:t xml:space="preserve"> sveučilišni prijediplomski studijski program na području mehatronike i robotike.</w:t>
      </w:r>
    </w:p>
    <w:p w:rsidR="000E6FBB" w:rsidRDefault="002B75C4">
      <w:r>
        <w:t>Uz ost</w:t>
      </w:r>
      <w:r>
        <w:t>varivanje svoje obrazovne uloge, stvarajući visokoobrazovane stručnjake u području tehničkih znanosti, značajna je znanstvena i stručna djelatnost Fakulteta. Fakultet sudjeluje u brojnim znanstveno-istraživačkim projektima, projektima Hrvatske zaklade za z</w:t>
      </w:r>
      <w:r>
        <w:t xml:space="preserve">nanost, EU projektima i stručnim projektima za gospodarstvo. Suradnja s gospodarstvom kao i drugim znanstvenim i obrazovnim ustanovama iznimno je bitan segment djelatnosti Fakulteta. </w:t>
      </w:r>
      <w:proofErr w:type="gramStart"/>
      <w:r>
        <w:t>Od</w:t>
      </w:r>
      <w:proofErr w:type="gramEnd"/>
      <w:r>
        <w:t xml:space="preserve"> svog osnutka, Fakultet je organizator ili suorganizator brojnih znanst</w:t>
      </w:r>
      <w:r>
        <w:t>venih i stručnih skupova, simpozija, konferencija i savjetovanja. Budući Fakultet djelomično obavlja i gospodarsku djelatnost, obveznik je PDV-a. Auditom koji provodi neovisna certifikacijska ustanova potvrđena je učinkovitost sustava upravljanja kvaliteto</w:t>
      </w:r>
      <w:r>
        <w:t>m prema normi ISO 9001, čime je potvrđena visoka razina uređenosti naših procesa podrške. </w:t>
      </w:r>
    </w:p>
    <w:tbl>
      <w:tblPr>
        <w:tblStyle w:val="TableGrid"/>
        <w:tblW w:w="4976" w:type="pct"/>
        <w:tblLook w:val="04A0" w:firstRow="1" w:lastRow="0" w:firstColumn="1" w:lastColumn="0" w:noHBand="0" w:noVBand="1"/>
      </w:tblPr>
      <w:tblGrid>
        <w:gridCol w:w="1111"/>
        <w:gridCol w:w="1626"/>
        <w:gridCol w:w="1476"/>
        <w:gridCol w:w="1296"/>
        <w:gridCol w:w="1476"/>
        <w:gridCol w:w="1296"/>
        <w:gridCol w:w="1412"/>
        <w:gridCol w:w="1296"/>
        <w:gridCol w:w="1296"/>
        <w:gridCol w:w="1596"/>
      </w:tblGrid>
      <w:tr w:rsidR="000E6FBB">
        <w:trPr>
          <w:trHeight w:val="1022"/>
        </w:trPr>
        <w:tc>
          <w:tcPr>
            <w:tcW w:w="432" w:type="pct"/>
            <w:vAlign w:val="center"/>
          </w:tcPr>
          <w:p w:rsidR="000E6FBB" w:rsidRDefault="002B75C4">
            <w:r>
              <w:t>Oznaka</w:t>
            </w:r>
          </w:p>
        </w:tc>
        <w:tc>
          <w:tcPr>
            <w:tcW w:w="617" w:type="pct"/>
            <w:vAlign w:val="center"/>
          </w:tcPr>
          <w:p w:rsidR="000E6FBB" w:rsidRDefault="002B75C4">
            <w:r>
              <w:t>Naziv</w:t>
            </w:r>
          </w:p>
        </w:tc>
        <w:tc>
          <w:tcPr>
            <w:tcW w:w="485" w:type="pct"/>
            <w:vAlign w:val="center"/>
          </w:tcPr>
          <w:p w:rsidR="000E6FBB" w:rsidRDefault="002B75C4">
            <w:r>
              <w:t>Izvor 11</w:t>
            </w:r>
          </w:p>
        </w:tc>
        <w:tc>
          <w:tcPr>
            <w:tcW w:w="475" w:type="pct"/>
            <w:vAlign w:val="center"/>
          </w:tcPr>
          <w:p w:rsidR="000E6FBB" w:rsidRDefault="002B75C4">
            <w:r>
              <w:t>Izvor 31</w:t>
            </w:r>
          </w:p>
        </w:tc>
        <w:tc>
          <w:tcPr>
            <w:tcW w:w="491" w:type="pct"/>
            <w:vAlign w:val="center"/>
          </w:tcPr>
          <w:p w:rsidR="000E6FBB" w:rsidRDefault="002B75C4">
            <w:r>
              <w:t>Izvor 43</w:t>
            </w:r>
          </w:p>
        </w:tc>
        <w:tc>
          <w:tcPr>
            <w:tcW w:w="465" w:type="pct"/>
            <w:vAlign w:val="center"/>
          </w:tcPr>
          <w:p w:rsidR="000E6FBB" w:rsidRDefault="002B75C4">
            <w:r>
              <w:t>Izvor 51</w:t>
            </w:r>
          </w:p>
        </w:tc>
        <w:tc>
          <w:tcPr>
            <w:tcW w:w="554" w:type="pct"/>
            <w:vAlign w:val="center"/>
          </w:tcPr>
          <w:p w:rsidR="000E6FBB" w:rsidRDefault="002B75C4">
            <w:r>
              <w:t>Izvor 52</w:t>
            </w:r>
          </w:p>
        </w:tc>
        <w:tc>
          <w:tcPr>
            <w:tcW w:w="479" w:type="pct"/>
            <w:vAlign w:val="center"/>
          </w:tcPr>
          <w:p w:rsidR="000E6FBB" w:rsidRDefault="002B75C4">
            <w:r>
              <w:t>Izvor 581</w:t>
            </w:r>
          </w:p>
        </w:tc>
        <w:tc>
          <w:tcPr>
            <w:tcW w:w="470" w:type="pct"/>
            <w:vAlign w:val="center"/>
          </w:tcPr>
          <w:p w:rsidR="000E6FBB" w:rsidRDefault="002B75C4">
            <w:r>
              <w:t>Izvor 61</w:t>
            </w:r>
          </w:p>
        </w:tc>
        <w:tc>
          <w:tcPr>
            <w:tcW w:w="526" w:type="pct"/>
            <w:vAlign w:val="center"/>
          </w:tcPr>
          <w:p w:rsidR="000E6FBB" w:rsidRDefault="002B75C4">
            <w:r>
              <w:t>Ukupno</w:t>
            </w:r>
          </w:p>
        </w:tc>
      </w:tr>
      <w:tr w:rsidR="000E6FBB">
        <w:trPr>
          <w:trHeight w:val="1022"/>
        </w:trPr>
        <w:tc>
          <w:tcPr>
            <w:tcW w:w="432" w:type="pct"/>
            <w:vAlign w:val="center"/>
          </w:tcPr>
          <w:p w:rsidR="000E6FBB" w:rsidRDefault="002B75C4">
            <w:r>
              <w:t>6</w:t>
            </w:r>
          </w:p>
        </w:tc>
        <w:tc>
          <w:tcPr>
            <w:tcW w:w="617" w:type="pct"/>
            <w:vAlign w:val="center"/>
          </w:tcPr>
          <w:p w:rsidR="000E6FBB" w:rsidRDefault="002B75C4">
            <w:r>
              <w:t>Prihodi poslovanja</w:t>
            </w:r>
          </w:p>
        </w:tc>
        <w:tc>
          <w:tcPr>
            <w:tcW w:w="485" w:type="pct"/>
            <w:vAlign w:val="center"/>
          </w:tcPr>
          <w:p w:rsidR="000E6FBB" w:rsidRDefault="002B75C4">
            <w:r>
              <w:t>8.545.927,56</w:t>
            </w:r>
          </w:p>
        </w:tc>
        <w:tc>
          <w:tcPr>
            <w:tcW w:w="475" w:type="pct"/>
            <w:vAlign w:val="center"/>
          </w:tcPr>
          <w:p w:rsidR="000E6FBB" w:rsidRDefault="002B75C4">
            <w:r>
              <w:t>181.589,23</w:t>
            </w:r>
          </w:p>
        </w:tc>
        <w:tc>
          <w:tcPr>
            <w:tcW w:w="491" w:type="pct"/>
            <w:vAlign w:val="center"/>
          </w:tcPr>
          <w:p w:rsidR="000E6FBB" w:rsidRDefault="002B75C4">
            <w:r>
              <w:t>529.686,57</w:t>
            </w:r>
          </w:p>
        </w:tc>
        <w:tc>
          <w:tcPr>
            <w:tcW w:w="465" w:type="pct"/>
            <w:vAlign w:val="center"/>
          </w:tcPr>
          <w:p w:rsidR="000E6FBB" w:rsidRDefault="002B75C4">
            <w:r>
              <w:t>37.544,90</w:t>
            </w:r>
          </w:p>
        </w:tc>
        <w:tc>
          <w:tcPr>
            <w:tcW w:w="554" w:type="pct"/>
            <w:vAlign w:val="center"/>
          </w:tcPr>
          <w:p w:rsidR="000E6FBB" w:rsidRDefault="002B75C4">
            <w:r>
              <w:t>841.925,15</w:t>
            </w:r>
          </w:p>
        </w:tc>
        <w:tc>
          <w:tcPr>
            <w:tcW w:w="479" w:type="pct"/>
            <w:vAlign w:val="center"/>
          </w:tcPr>
          <w:p w:rsidR="000E6FBB" w:rsidRDefault="002B75C4">
            <w:r>
              <w:t>275.461,69</w:t>
            </w:r>
          </w:p>
        </w:tc>
        <w:tc>
          <w:tcPr>
            <w:tcW w:w="470" w:type="pct"/>
            <w:vAlign w:val="center"/>
          </w:tcPr>
          <w:p w:rsidR="000E6FBB" w:rsidRDefault="002B75C4">
            <w:r>
              <w:t>209.994,31</w:t>
            </w:r>
          </w:p>
        </w:tc>
        <w:tc>
          <w:tcPr>
            <w:tcW w:w="526" w:type="pct"/>
            <w:vAlign w:val="center"/>
          </w:tcPr>
          <w:p w:rsidR="000E6FBB" w:rsidRDefault="002B75C4">
            <w:r>
              <w:t>10.622.129,41</w:t>
            </w:r>
          </w:p>
        </w:tc>
      </w:tr>
      <w:tr w:rsidR="000E6FBB">
        <w:trPr>
          <w:trHeight w:val="1022"/>
        </w:trPr>
        <w:tc>
          <w:tcPr>
            <w:tcW w:w="432" w:type="pct"/>
            <w:vAlign w:val="center"/>
          </w:tcPr>
          <w:p w:rsidR="000E6FBB" w:rsidRDefault="002B75C4">
            <w:r>
              <w:t>3</w:t>
            </w:r>
          </w:p>
        </w:tc>
        <w:tc>
          <w:tcPr>
            <w:tcW w:w="617" w:type="pct"/>
            <w:vAlign w:val="center"/>
          </w:tcPr>
          <w:p w:rsidR="000E6FBB" w:rsidRDefault="002B75C4">
            <w:r>
              <w:t>Rashodi poslovanja</w:t>
            </w:r>
          </w:p>
        </w:tc>
        <w:tc>
          <w:tcPr>
            <w:tcW w:w="485" w:type="pct"/>
            <w:vAlign w:val="center"/>
          </w:tcPr>
          <w:p w:rsidR="000E6FBB" w:rsidRDefault="002B75C4">
            <w:r>
              <w:t>9.244.592,60</w:t>
            </w:r>
          </w:p>
        </w:tc>
        <w:tc>
          <w:tcPr>
            <w:tcW w:w="475" w:type="pct"/>
            <w:vAlign w:val="center"/>
          </w:tcPr>
          <w:p w:rsidR="000E6FBB" w:rsidRDefault="002B75C4">
            <w:r>
              <w:t>198.274,40</w:t>
            </w:r>
          </w:p>
        </w:tc>
        <w:tc>
          <w:tcPr>
            <w:tcW w:w="491" w:type="pct"/>
            <w:vAlign w:val="center"/>
          </w:tcPr>
          <w:p w:rsidR="000E6FBB" w:rsidRDefault="002B75C4">
            <w:r>
              <w:t>509.108,22</w:t>
            </w:r>
          </w:p>
        </w:tc>
        <w:tc>
          <w:tcPr>
            <w:tcW w:w="465" w:type="pct"/>
            <w:vAlign w:val="center"/>
          </w:tcPr>
          <w:p w:rsidR="000E6FBB" w:rsidRDefault="002B75C4">
            <w:r>
              <w:t>73.960,32</w:t>
            </w:r>
          </w:p>
        </w:tc>
        <w:tc>
          <w:tcPr>
            <w:tcW w:w="554" w:type="pct"/>
            <w:vAlign w:val="center"/>
          </w:tcPr>
          <w:p w:rsidR="000E6FBB" w:rsidRDefault="002B75C4">
            <w:r>
              <w:t>959.215,85</w:t>
            </w:r>
          </w:p>
        </w:tc>
        <w:tc>
          <w:tcPr>
            <w:tcW w:w="479" w:type="pct"/>
            <w:vAlign w:val="center"/>
          </w:tcPr>
          <w:p w:rsidR="000E6FBB" w:rsidRDefault="002B75C4">
            <w:r>
              <w:t>64.783,35</w:t>
            </w:r>
          </w:p>
        </w:tc>
        <w:tc>
          <w:tcPr>
            <w:tcW w:w="470" w:type="pct"/>
            <w:vAlign w:val="center"/>
          </w:tcPr>
          <w:p w:rsidR="000E6FBB" w:rsidRDefault="002B75C4">
            <w:r>
              <w:t>182.747,15</w:t>
            </w:r>
          </w:p>
        </w:tc>
        <w:tc>
          <w:tcPr>
            <w:tcW w:w="526" w:type="pct"/>
            <w:vAlign w:val="center"/>
          </w:tcPr>
          <w:p w:rsidR="000E6FBB" w:rsidRDefault="002B75C4">
            <w:r>
              <w:t>11.232.681,89</w:t>
            </w:r>
          </w:p>
        </w:tc>
      </w:tr>
      <w:tr w:rsidR="000E6FBB">
        <w:trPr>
          <w:trHeight w:val="1022"/>
        </w:trPr>
        <w:tc>
          <w:tcPr>
            <w:tcW w:w="432" w:type="pct"/>
            <w:vAlign w:val="center"/>
          </w:tcPr>
          <w:p w:rsidR="000E6FBB" w:rsidRDefault="002B75C4">
            <w:r>
              <w:t> </w:t>
            </w:r>
          </w:p>
        </w:tc>
        <w:tc>
          <w:tcPr>
            <w:tcW w:w="617" w:type="pct"/>
            <w:vAlign w:val="center"/>
          </w:tcPr>
          <w:p w:rsidR="000E6FBB" w:rsidRDefault="002B75C4">
            <w:r>
              <w:t>Rezultat poslovanja 6-3</w:t>
            </w:r>
          </w:p>
        </w:tc>
        <w:tc>
          <w:tcPr>
            <w:tcW w:w="485" w:type="pct"/>
            <w:vAlign w:val="center"/>
          </w:tcPr>
          <w:p w:rsidR="000E6FBB" w:rsidRDefault="002B75C4">
            <w:r>
              <w:t>-698.665,04</w:t>
            </w:r>
          </w:p>
        </w:tc>
        <w:tc>
          <w:tcPr>
            <w:tcW w:w="475" w:type="pct"/>
            <w:vAlign w:val="center"/>
          </w:tcPr>
          <w:p w:rsidR="000E6FBB" w:rsidRDefault="002B75C4">
            <w:r>
              <w:t>-16.685,17</w:t>
            </w:r>
          </w:p>
        </w:tc>
        <w:tc>
          <w:tcPr>
            <w:tcW w:w="491" w:type="pct"/>
            <w:vAlign w:val="center"/>
          </w:tcPr>
          <w:p w:rsidR="000E6FBB" w:rsidRDefault="002B75C4">
            <w:r>
              <w:t>20.578,35</w:t>
            </w:r>
          </w:p>
        </w:tc>
        <w:tc>
          <w:tcPr>
            <w:tcW w:w="465" w:type="pct"/>
            <w:vAlign w:val="center"/>
          </w:tcPr>
          <w:p w:rsidR="000E6FBB" w:rsidRDefault="002B75C4">
            <w:r>
              <w:t>-36.415,42</w:t>
            </w:r>
          </w:p>
        </w:tc>
        <w:tc>
          <w:tcPr>
            <w:tcW w:w="554" w:type="pct"/>
            <w:vAlign w:val="center"/>
          </w:tcPr>
          <w:p w:rsidR="000E6FBB" w:rsidRDefault="002B75C4">
            <w:r>
              <w:t>-117.290,70</w:t>
            </w:r>
          </w:p>
        </w:tc>
        <w:tc>
          <w:tcPr>
            <w:tcW w:w="479" w:type="pct"/>
            <w:vAlign w:val="center"/>
          </w:tcPr>
          <w:p w:rsidR="000E6FBB" w:rsidRDefault="002B75C4">
            <w:r>
              <w:t>210.678,34</w:t>
            </w:r>
          </w:p>
        </w:tc>
        <w:tc>
          <w:tcPr>
            <w:tcW w:w="470" w:type="pct"/>
            <w:vAlign w:val="center"/>
          </w:tcPr>
          <w:p w:rsidR="000E6FBB" w:rsidRDefault="002B75C4">
            <w:r>
              <w:t>27.247,16</w:t>
            </w:r>
          </w:p>
        </w:tc>
        <w:tc>
          <w:tcPr>
            <w:tcW w:w="526" w:type="pct"/>
            <w:vAlign w:val="center"/>
          </w:tcPr>
          <w:p w:rsidR="000E6FBB" w:rsidRDefault="002B75C4">
            <w:r>
              <w:t>-610.552,48</w:t>
            </w:r>
          </w:p>
        </w:tc>
      </w:tr>
      <w:tr w:rsidR="000E6FBB">
        <w:trPr>
          <w:trHeight w:val="1214"/>
        </w:trPr>
        <w:tc>
          <w:tcPr>
            <w:tcW w:w="432" w:type="pct"/>
            <w:vAlign w:val="center"/>
          </w:tcPr>
          <w:p w:rsidR="000E6FBB" w:rsidRDefault="002B75C4">
            <w:r>
              <w:lastRenderedPageBreak/>
              <w:t> </w:t>
            </w:r>
          </w:p>
        </w:tc>
        <w:tc>
          <w:tcPr>
            <w:tcW w:w="617" w:type="pct"/>
            <w:vAlign w:val="center"/>
          </w:tcPr>
          <w:p w:rsidR="000E6FBB" w:rsidRDefault="002B75C4">
            <w:r>
              <w:t>Rezultat poslovanja - preneseni</w:t>
            </w:r>
          </w:p>
        </w:tc>
        <w:tc>
          <w:tcPr>
            <w:tcW w:w="485" w:type="pct"/>
            <w:vAlign w:val="center"/>
          </w:tcPr>
          <w:p w:rsidR="000E6FBB" w:rsidRDefault="002B75C4">
            <w:r>
              <w:t>0</w:t>
            </w:r>
          </w:p>
        </w:tc>
        <w:tc>
          <w:tcPr>
            <w:tcW w:w="475" w:type="pct"/>
            <w:vAlign w:val="center"/>
          </w:tcPr>
          <w:p w:rsidR="000E6FBB" w:rsidRDefault="002B75C4">
            <w:r>
              <w:t>186.103,06</w:t>
            </w:r>
          </w:p>
        </w:tc>
        <w:tc>
          <w:tcPr>
            <w:tcW w:w="491" w:type="pct"/>
            <w:vAlign w:val="center"/>
          </w:tcPr>
          <w:p w:rsidR="000E6FBB" w:rsidRDefault="002B75C4">
            <w:r>
              <w:t>1.211.541,51</w:t>
            </w:r>
          </w:p>
        </w:tc>
        <w:tc>
          <w:tcPr>
            <w:tcW w:w="465" w:type="pct"/>
            <w:vAlign w:val="center"/>
          </w:tcPr>
          <w:p w:rsidR="000E6FBB" w:rsidRDefault="002B75C4">
            <w:r>
              <w:t>180.054,13</w:t>
            </w:r>
          </w:p>
        </w:tc>
        <w:tc>
          <w:tcPr>
            <w:tcW w:w="554" w:type="pct"/>
            <w:vAlign w:val="center"/>
          </w:tcPr>
          <w:p w:rsidR="000E6FBB" w:rsidRDefault="002B75C4">
            <w:r>
              <w:t>708.014,79</w:t>
            </w:r>
          </w:p>
        </w:tc>
        <w:tc>
          <w:tcPr>
            <w:tcW w:w="479" w:type="pct"/>
            <w:vAlign w:val="center"/>
          </w:tcPr>
          <w:p w:rsidR="000E6FBB" w:rsidRDefault="002B75C4">
            <w:r>
              <w:t>0</w:t>
            </w:r>
          </w:p>
        </w:tc>
        <w:tc>
          <w:tcPr>
            <w:tcW w:w="470" w:type="pct"/>
            <w:vAlign w:val="center"/>
          </w:tcPr>
          <w:p w:rsidR="000E6FBB" w:rsidRDefault="002B75C4">
            <w:r>
              <w:t>-9.000,04</w:t>
            </w:r>
          </w:p>
        </w:tc>
        <w:tc>
          <w:tcPr>
            <w:tcW w:w="526" w:type="pct"/>
            <w:vAlign w:val="center"/>
          </w:tcPr>
          <w:p w:rsidR="000E6FBB" w:rsidRDefault="002B75C4">
            <w:r>
              <w:t>2.276.713,45</w:t>
            </w:r>
          </w:p>
        </w:tc>
      </w:tr>
      <w:tr w:rsidR="000E6FBB">
        <w:trPr>
          <w:trHeight w:val="1694"/>
        </w:trPr>
        <w:tc>
          <w:tcPr>
            <w:tcW w:w="432" w:type="pct"/>
            <w:vAlign w:val="center"/>
          </w:tcPr>
          <w:p w:rsidR="000E6FBB" w:rsidRDefault="002B75C4">
            <w:r>
              <w:t> </w:t>
            </w:r>
          </w:p>
        </w:tc>
        <w:tc>
          <w:tcPr>
            <w:tcW w:w="617" w:type="pct"/>
            <w:vAlign w:val="center"/>
          </w:tcPr>
          <w:p w:rsidR="000E6FBB" w:rsidRDefault="002B75C4">
            <w:r>
              <w:t>Rezultat poslovanja - ukupno</w:t>
            </w:r>
          </w:p>
        </w:tc>
        <w:tc>
          <w:tcPr>
            <w:tcW w:w="485" w:type="pct"/>
            <w:vAlign w:val="center"/>
          </w:tcPr>
          <w:p w:rsidR="000E6FBB" w:rsidRDefault="002B75C4">
            <w:r>
              <w:t>-698.665,04</w:t>
            </w:r>
          </w:p>
        </w:tc>
        <w:tc>
          <w:tcPr>
            <w:tcW w:w="475" w:type="pct"/>
            <w:vAlign w:val="center"/>
          </w:tcPr>
          <w:p w:rsidR="000E6FBB" w:rsidRDefault="002B75C4">
            <w:r>
              <w:t>169.417,89</w:t>
            </w:r>
          </w:p>
        </w:tc>
        <w:tc>
          <w:tcPr>
            <w:tcW w:w="491" w:type="pct"/>
            <w:vAlign w:val="center"/>
          </w:tcPr>
          <w:p w:rsidR="000E6FBB" w:rsidRDefault="002B75C4">
            <w:r>
              <w:t>1.232.119,86</w:t>
            </w:r>
          </w:p>
        </w:tc>
        <w:tc>
          <w:tcPr>
            <w:tcW w:w="465" w:type="pct"/>
            <w:vAlign w:val="center"/>
          </w:tcPr>
          <w:p w:rsidR="000E6FBB" w:rsidRDefault="002B75C4">
            <w:r>
              <w:t>143.638,71</w:t>
            </w:r>
          </w:p>
        </w:tc>
        <w:tc>
          <w:tcPr>
            <w:tcW w:w="554" w:type="pct"/>
            <w:vAlign w:val="center"/>
          </w:tcPr>
          <w:p w:rsidR="000E6FBB" w:rsidRDefault="002B75C4">
            <w:r>
              <w:t>590.724,09</w:t>
            </w:r>
          </w:p>
        </w:tc>
        <w:tc>
          <w:tcPr>
            <w:tcW w:w="479" w:type="pct"/>
            <w:vAlign w:val="center"/>
          </w:tcPr>
          <w:p w:rsidR="000E6FBB" w:rsidRDefault="002B75C4">
            <w:r>
              <w:t>210.678,34</w:t>
            </w:r>
          </w:p>
        </w:tc>
        <w:tc>
          <w:tcPr>
            <w:tcW w:w="470" w:type="pct"/>
            <w:vAlign w:val="center"/>
          </w:tcPr>
          <w:p w:rsidR="000E6FBB" w:rsidRDefault="002B75C4">
            <w:r>
              <w:t>18.247,12</w:t>
            </w:r>
          </w:p>
        </w:tc>
        <w:tc>
          <w:tcPr>
            <w:tcW w:w="526" w:type="pct"/>
            <w:vAlign w:val="center"/>
          </w:tcPr>
          <w:p w:rsidR="000E6FBB" w:rsidRDefault="002B75C4">
            <w:r>
              <w:t>1.666.160,97</w:t>
            </w:r>
          </w:p>
        </w:tc>
      </w:tr>
      <w:tr w:rsidR="000E6FBB">
        <w:trPr>
          <w:trHeight w:val="1694"/>
        </w:trPr>
        <w:tc>
          <w:tcPr>
            <w:tcW w:w="432" w:type="pct"/>
            <w:vAlign w:val="center"/>
          </w:tcPr>
          <w:p w:rsidR="000E6FBB" w:rsidRDefault="002B75C4">
            <w:r>
              <w:t>7</w:t>
            </w:r>
          </w:p>
        </w:tc>
        <w:tc>
          <w:tcPr>
            <w:tcW w:w="617" w:type="pct"/>
            <w:vAlign w:val="center"/>
          </w:tcPr>
          <w:p w:rsidR="000E6FBB" w:rsidRDefault="002B75C4">
            <w:r>
              <w:t>Prihodi od prodaje nef. imovine</w:t>
            </w:r>
          </w:p>
        </w:tc>
        <w:tc>
          <w:tcPr>
            <w:tcW w:w="485" w:type="pct"/>
            <w:vAlign w:val="center"/>
          </w:tcPr>
          <w:p w:rsidR="000E6FBB" w:rsidRDefault="002B75C4">
            <w:r>
              <w:t>0</w:t>
            </w:r>
          </w:p>
        </w:tc>
        <w:tc>
          <w:tcPr>
            <w:tcW w:w="475" w:type="pct"/>
            <w:vAlign w:val="center"/>
          </w:tcPr>
          <w:p w:rsidR="000E6FBB" w:rsidRDefault="002B75C4">
            <w:r>
              <w:t>0</w:t>
            </w:r>
          </w:p>
        </w:tc>
        <w:tc>
          <w:tcPr>
            <w:tcW w:w="491" w:type="pct"/>
            <w:vAlign w:val="center"/>
          </w:tcPr>
          <w:p w:rsidR="000E6FBB" w:rsidRDefault="002B75C4">
            <w:r>
              <w:t>0</w:t>
            </w:r>
          </w:p>
        </w:tc>
        <w:tc>
          <w:tcPr>
            <w:tcW w:w="465" w:type="pct"/>
            <w:vAlign w:val="center"/>
          </w:tcPr>
          <w:p w:rsidR="000E6FBB" w:rsidRDefault="002B75C4">
            <w:r>
              <w:t>0</w:t>
            </w:r>
          </w:p>
        </w:tc>
        <w:tc>
          <w:tcPr>
            <w:tcW w:w="554" w:type="pct"/>
            <w:vAlign w:val="center"/>
          </w:tcPr>
          <w:p w:rsidR="000E6FBB" w:rsidRDefault="002B75C4">
            <w:r>
              <w:t>0</w:t>
            </w:r>
          </w:p>
        </w:tc>
        <w:tc>
          <w:tcPr>
            <w:tcW w:w="479" w:type="pct"/>
            <w:vAlign w:val="center"/>
          </w:tcPr>
          <w:p w:rsidR="000E6FBB" w:rsidRDefault="002B75C4">
            <w:r>
              <w:t>0</w:t>
            </w:r>
          </w:p>
        </w:tc>
        <w:tc>
          <w:tcPr>
            <w:tcW w:w="470" w:type="pct"/>
            <w:vAlign w:val="center"/>
          </w:tcPr>
          <w:p w:rsidR="000E6FBB" w:rsidRDefault="002B75C4">
            <w:r>
              <w:t>0</w:t>
            </w:r>
          </w:p>
        </w:tc>
        <w:tc>
          <w:tcPr>
            <w:tcW w:w="526" w:type="pct"/>
            <w:vAlign w:val="center"/>
          </w:tcPr>
          <w:p w:rsidR="000E6FBB" w:rsidRDefault="002B75C4">
            <w:r>
              <w:t>0</w:t>
            </w:r>
          </w:p>
        </w:tc>
      </w:tr>
      <w:tr w:rsidR="000E6FBB">
        <w:trPr>
          <w:trHeight w:val="1694"/>
        </w:trPr>
        <w:tc>
          <w:tcPr>
            <w:tcW w:w="432" w:type="pct"/>
            <w:vAlign w:val="center"/>
          </w:tcPr>
          <w:p w:rsidR="000E6FBB" w:rsidRDefault="002B75C4">
            <w:r>
              <w:t> </w:t>
            </w:r>
          </w:p>
          <w:p w:rsidR="000E6FBB" w:rsidRDefault="002B75C4">
            <w:r>
              <w:t>4</w:t>
            </w:r>
          </w:p>
        </w:tc>
        <w:tc>
          <w:tcPr>
            <w:tcW w:w="617" w:type="pct"/>
            <w:vAlign w:val="center"/>
          </w:tcPr>
          <w:p w:rsidR="000E6FBB" w:rsidRDefault="002B75C4">
            <w:r>
              <w:t>Rashodi za nabavu nef. imovine</w:t>
            </w:r>
          </w:p>
        </w:tc>
        <w:tc>
          <w:tcPr>
            <w:tcW w:w="485" w:type="pct"/>
            <w:vAlign w:val="center"/>
          </w:tcPr>
          <w:p w:rsidR="000E6FBB" w:rsidRDefault="002B75C4">
            <w:r>
              <w:t>103.076.97</w:t>
            </w:r>
          </w:p>
        </w:tc>
        <w:tc>
          <w:tcPr>
            <w:tcW w:w="475" w:type="pct"/>
            <w:vAlign w:val="center"/>
          </w:tcPr>
          <w:p w:rsidR="000E6FBB" w:rsidRDefault="002B75C4">
            <w:r>
              <w:t>12.485,06</w:t>
            </w:r>
          </w:p>
        </w:tc>
        <w:tc>
          <w:tcPr>
            <w:tcW w:w="491" w:type="pct"/>
            <w:vAlign w:val="center"/>
          </w:tcPr>
          <w:p w:rsidR="000E6FBB" w:rsidRDefault="002B75C4">
            <w:r>
              <w:t>102.176,57</w:t>
            </w:r>
          </w:p>
        </w:tc>
        <w:tc>
          <w:tcPr>
            <w:tcW w:w="465" w:type="pct"/>
            <w:vAlign w:val="center"/>
          </w:tcPr>
          <w:p w:rsidR="000E6FBB" w:rsidRDefault="002B75C4">
            <w:r>
              <w:t>0</w:t>
            </w:r>
          </w:p>
        </w:tc>
        <w:tc>
          <w:tcPr>
            <w:tcW w:w="554" w:type="pct"/>
            <w:vAlign w:val="center"/>
          </w:tcPr>
          <w:p w:rsidR="000E6FBB" w:rsidRDefault="002B75C4">
            <w:r>
              <w:t>123.521,68</w:t>
            </w:r>
          </w:p>
        </w:tc>
        <w:tc>
          <w:tcPr>
            <w:tcW w:w="479" w:type="pct"/>
            <w:vAlign w:val="center"/>
          </w:tcPr>
          <w:p w:rsidR="000E6FBB" w:rsidRDefault="002B75C4">
            <w:r>
              <w:t>42.768,81</w:t>
            </w:r>
          </w:p>
        </w:tc>
        <w:tc>
          <w:tcPr>
            <w:tcW w:w="470" w:type="pct"/>
            <w:vAlign w:val="center"/>
          </w:tcPr>
          <w:p w:rsidR="000E6FBB" w:rsidRDefault="002B75C4">
            <w:r>
              <w:t>11.179,35</w:t>
            </w:r>
          </w:p>
        </w:tc>
        <w:tc>
          <w:tcPr>
            <w:tcW w:w="526" w:type="pct"/>
            <w:vAlign w:val="center"/>
          </w:tcPr>
          <w:p w:rsidR="000E6FBB" w:rsidRDefault="002B75C4">
            <w:r>
              <w:t>395.208,44</w:t>
            </w:r>
          </w:p>
        </w:tc>
      </w:tr>
      <w:tr w:rsidR="000E6FBB">
        <w:trPr>
          <w:trHeight w:val="1022"/>
        </w:trPr>
        <w:tc>
          <w:tcPr>
            <w:tcW w:w="432" w:type="pct"/>
            <w:vAlign w:val="center"/>
          </w:tcPr>
          <w:p w:rsidR="000E6FBB" w:rsidRDefault="002B75C4">
            <w:r>
              <w:t> </w:t>
            </w:r>
          </w:p>
        </w:tc>
        <w:tc>
          <w:tcPr>
            <w:tcW w:w="617" w:type="pct"/>
            <w:vAlign w:val="center"/>
          </w:tcPr>
          <w:p w:rsidR="000E6FBB" w:rsidRDefault="002B75C4">
            <w:r>
              <w:t>Rezultat NFI 7-4</w:t>
            </w:r>
          </w:p>
        </w:tc>
        <w:tc>
          <w:tcPr>
            <w:tcW w:w="485" w:type="pct"/>
            <w:vAlign w:val="center"/>
          </w:tcPr>
          <w:p w:rsidR="000E6FBB" w:rsidRDefault="002B75C4">
            <w:r>
              <w:t>-103.076,97</w:t>
            </w:r>
          </w:p>
        </w:tc>
        <w:tc>
          <w:tcPr>
            <w:tcW w:w="475" w:type="pct"/>
            <w:vAlign w:val="center"/>
          </w:tcPr>
          <w:p w:rsidR="000E6FBB" w:rsidRDefault="002B75C4">
            <w:r>
              <w:t>-12.485,06</w:t>
            </w:r>
          </w:p>
        </w:tc>
        <w:tc>
          <w:tcPr>
            <w:tcW w:w="491" w:type="pct"/>
            <w:vAlign w:val="center"/>
          </w:tcPr>
          <w:p w:rsidR="000E6FBB" w:rsidRDefault="002B75C4">
            <w:r>
              <w:t>-102.176,57</w:t>
            </w:r>
          </w:p>
        </w:tc>
        <w:tc>
          <w:tcPr>
            <w:tcW w:w="465" w:type="pct"/>
            <w:vAlign w:val="center"/>
          </w:tcPr>
          <w:p w:rsidR="000E6FBB" w:rsidRDefault="002B75C4">
            <w:r>
              <w:t>0</w:t>
            </w:r>
          </w:p>
        </w:tc>
        <w:tc>
          <w:tcPr>
            <w:tcW w:w="554" w:type="pct"/>
            <w:vAlign w:val="center"/>
          </w:tcPr>
          <w:p w:rsidR="000E6FBB" w:rsidRDefault="002B75C4">
            <w:r>
              <w:t>-123.521,68</w:t>
            </w:r>
          </w:p>
        </w:tc>
        <w:tc>
          <w:tcPr>
            <w:tcW w:w="479" w:type="pct"/>
            <w:vAlign w:val="center"/>
          </w:tcPr>
          <w:p w:rsidR="000E6FBB" w:rsidRDefault="002B75C4">
            <w:r>
              <w:t>-42.768,81</w:t>
            </w:r>
          </w:p>
        </w:tc>
        <w:tc>
          <w:tcPr>
            <w:tcW w:w="470" w:type="pct"/>
            <w:vAlign w:val="center"/>
          </w:tcPr>
          <w:p w:rsidR="000E6FBB" w:rsidRDefault="002B75C4">
            <w:r>
              <w:t>-11.179,35</w:t>
            </w:r>
          </w:p>
        </w:tc>
        <w:tc>
          <w:tcPr>
            <w:tcW w:w="526" w:type="pct"/>
            <w:vAlign w:val="center"/>
          </w:tcPr>
          <w:p w:rsidR="000E6FBB" w:rsidRDefault="002B75C4">
            <w:r>
              <w:t>-395.208,44</w:t>
            </w:r>
          </w:p>
        </w:tc>
      </w:tr>
      <w:tr w:rsidR="000E6FBB">
        <w:trPr>
          <w:trHeight w:val="1358"/>
        </w:trPr>
        <w:tc>
          <w:tcPr>
            <w:tcW w:w="432" w:type="pct"/>
            <w:vAlign w:val="center"/>
          </w:tcPr>
          <w:p w:rsidR="000E6FBB" w:rsidRDefault="002B75C4">
            <w:r>
              <w:t> </w:t>
            </w:r>
          </w:p>
        </w:tc>
        <w:tc>
          <w:tcPr>
            <w:tcW w:w="617" w:type="pct"/>
            <w:vAlign w:val="center"/>
          </w:tcPr>
          <w:p w:rsidR="000E6FBB" w:rsidRDefault="002B75C4">
            <w:r>
              <w:t>Rezultat NFI preneseni</w:t>
            </w:r>
          </w:p>
        </w:tc>
        <w:tc>
          <w:tcPr>
            <w:tcW w:w="485" w:type="pct"/>
            <w:vAlign w:val="center"/>
          </w:tcPr>
          <w:p w:rsidR="000E6FBB" w:rsidRDefault="002B75C4">
            <w:r>
              <w:t>0</w:t>
            </w:r>
          </w:p>
        </w:tc>
        <w:tc>
          <w:tcPr>
            <w:tcW w:w="475" w:type="pct"/>
            <w:vAlign w:val="center"/>
          </w:tcPr>
          <w:p w:rsidR="000E6FBB" w:rsidRDefault="002B75C4">
            <w:r>
              <w:t>0</w:t>
            </w:r>
          </w:p>
        </w:tc>
        <w:tc>
          <w:tcPr>
            <w:tcW w:w="491" w:type="pct"/>
            <w:vAlign w:val="center"/>
          </w:tcPr>
          <w:p w:rsidR="000E6FBB" w:rsidRDefault="002B75C4">
            <w:r>
              <w:t>0</w:t>
            </w:r>
          </w:p>
        </w:tc>
        <w:tc>
          <w:tcPr>
            <w:tcW w:w="465" w:type="pct"/>
            <w:vAlign w:val="center"/>
          </w:tcPr>
          <w:p w:rsidR="000E6FBB" w:rsidRDefault="002B75C4">
            <w:r>
              <w:t>0</w:t>
            </w:r>
          </w:p>
        </w:tc>
        <w:tc>
          <w:tcPr>
            <w:tcW w:w="554" w:type="pct"/>
            <w:vAlign w:val="center"/>
          </w:tcPr>
          <w:p w:rsidR="000E6FBB" w:rsidRDefault="002B75C4">
            <w:r>
              <w:t>0</w:t>
            </w:r>
          </w:p>
        </w:tc>
        <w:tc>
          <w:tcPr>
            <w:tcW w:w="479" w:type="pct"/>
            <w:vAlign w:val="center"/>
          </w:tcPr>
          <w:p w:rsidR="000E6FBB" w:rsidRDefault="002B75C4">
            <w:r>
              <w:t>0</w:t>
            </w:r>
          </w:p>
        </w:tc>
        <w:tc>
          <w:tcPr>
            <w:tcW w:w="470" w:type="pct"/>
            <w:vAlign w:val="center"/>
          </w:tcPr>
          <w:p w:rsidR="000E6FBB" w:rsidRDefault="002B75C4">
            <w:r>
              <w:t>0</w:t>
            </w:r>
          </w:p>
        </w:tc>
        <w:tc>
          <w:tcPr>
            <w:tcW w:w="526" w:type="pct"/>
            <w:vAlign w:val="center"/>
          </w:tcPr>
          <w:p w:rsidR="000E6FBB" w:rsidRDefault="002B75C4">
            <w:r>
              <w:t>0</w:t>
            </w:r>
          </w:p>
        </w:tc>
      </w:tr>
      <w:tr w:rsidR="000E6FBB">
        <w:trPr>
          <w:trHeight w:val="1022"/>
        </w:trPr>
        <w:tc>
          <w:tcPr>
            <w:tcW w:w="432" w:type="pct"/>
            <w:vAlign w:val="center"/>
          </w:tcPr>
          <w:p w:rsidR="000E6FBB" w:rsidRDefault="002B75C4">
            <w:r>
              <w:lastRenderedPageBreak/>
              <w:t> </w:t>
            </w:r>
          </w:p>
        </w:tc>
        <w:tc>
          <w:tcPr>
            <w:tcW w:w="617" w:type="pct"/>
            <w:vAlign w:val="center"/>
          </w:tcPr>
          <w:p w:rsidR="000E6FBB" w:rsidRDefault="002B75C4">
            <w:r>
              <w:t>NFI ukupno</w:t>
            </w:r>
          </w:p>
        </w:tc>
        <w:tc>
          <w:tcPr>
            <w:tcW w:w="485" w:type="pct"/>
            <w:vAlign w:val="center"/>
          </w:tcPr>
          <w:p w:rsidR="000E6FBB" w:rsidRDefault="002B75C4">
            <w:r>
              <w:t>-103.076,97</w:t>
            </w:r>
          </w:p>
        </w:tc>
        <w:tc>
          <w:tcPr>
            <w:tcW w:w="475" w:type="pct"/>
            <w:vAlign w:val="center"/>
          </w:tcPr>
          <w:p w:rsidR="000E6FBB" w:rsidRDefault="002B75C4">
            <w:r>
              <w:t>-12.485,06</w:t>
            </w:r>
          </w:p>
        </w:tc>
        <w:tc>
          <w:tcPr>
            <w:tcW w:w="491" w:type="pct"/>
            <w:vAlign w:val="center"/>
          </w:tcPr>
          <w:p w:rsidR="000E6FBB" w:rsidRDefault="002B75C4">
            <w:r>
              <w:t>-102.176,57</w:t>
            </w:r>
          </w:p>
        </w:tc>
        <w:tc>
          <w:tcPr>
            <w:tcW w:w="465" w:type="pct"/>
            <w:vAlign w:val="center"/>
          </w:tcPr>
          <w:p w:rsidR="000E6FBB" w:rsidRDefault="002B75C4">
            <w:r>
              <w:t>0</w:t>
            </w:r>
          </w:p>
        </w:tc>
        <w:tc>
          <w:tcPr>
            <w:tcW w:w="554" w:type="pct"/>
            <w:vAlign w:val="center"/>
          </w:tcPr>
          <w:p w:rsidR="000E6FBB" w:rsidRDefault="002B75C4">
            <w:r>
              <w:t>-123.521,68</w:t>
            </w:r>
          </w:p>
        </w:tc>
        <w:tc>
          <w:tcPr>
            <w:tcW w:w="479" w:type="pct"/>
            <w:vAlign w:val="center"/>
          </w:tcPr>
          <w:p w:rsidR="000E6FBB" w:rsidRDefault="002B75C4">
            <w:r>
              <w:t>-42.768,81</w:t>
            </w:r>
          </w:p>
        </w:tc>
        <w:tc>
          <w:tcPr>
            <w:tcW w:w="470" w:type="pct"/>
            <w:vAlign w:val="center"/>
          </w:tcPr>
          <w:p w:rsidR="000E6FBB" w:rsidRDefault="002B75C4">
            <w:r>
              <w:t>-11.179,35</w:t>
            </w:r>
          </w:p>
        </w:tc>
        <w:tc>
          <w:tcPr>
            <w:tcW w:w="526" w:type="pct"/>
            <w:vAlign w:val="center"/>
          </w:tcPr>
          <w:p w:rsidR="000E6FBB" w:rsidRDefault="002B75C4">
            <w:r>
              <w:t>-395.208,44</w:t>
            </w:r>
          </w:p>
        </w:tc>
      </w:tr>
      <w:tr w:rsidR="000E6FBB">
        <w:tc>
          <w:tcPr>
            <w:tcW w:w="432" w:type="pct"/>
            <w:vAlign w:val="center"/>
          </w:tcPr>
          <w:p w:rsidR="000E6FBB" w:rsidRDefault="002B75C4">
            <w:r>
              <w:t> </w:t>
            </w:r>
          </w:p>
        </w:tc>
        <w:tc>
          <w:tcPr>
            <w:tcW w:w="617" w:type="pct"/>
            <w:vAlign w:val="center"/>
          </w:tcPr>
          <w:p w:rsidR="000E6FBB" w:rsidRDefault="002B75C4">
            <w:r>
              <w:t>REZULTAT UKUPNO 2025</w:t>
            </w:r>
          </w:p>
        </w:tc>
        <w:tc>
          <w:tcPr>
            <w:tcW w:w="485" w:type="pct"/>
            <w:vAlign w:val="center"/>
          </w:tcPr>
          <w:p w:rsidR="000E6FBB" w:rsidRDefault="002B75C4">
            <w:r>
              <w:t>-801.742,01</w:t>
            </w:r>
          </w:p>
        </w:tc>
        <w:tc>
          <w:tcPr>
            <w:tcW w:w="475" w:type="pct"/>
            <w:vAlign w:val="center"/>
          </w:tcPr>
          <w:p w:rsidR="000E6FBB" w:rsidRDefault="002B75C4">
            <w:r>
              <w:t>-29.170,29</w:t>
            </w:r>
          </w:p>
        </w:tc>
        <w:tc>
          <w:tcPr>
            <w:tcW w:w="491" w:type="pct"/>
            <w:vAlign w:val="center"/>
          </w:tcPr>
          <w:p w:rsidR="000E6FBB" w:rsidRDefault="002B75C4">
            <w:r>
              <w:t>-81.598,22</w:t>
            </w:r>
          </w:p>
        </w:tc>
        <w:tc>
          <w:tcPr>
            <w:tcW w:w="465" w:type="pct"/>
            <w:vAlign w:val="center"/>
          </w:tcPr>
          <w:p w:rsidR="000E6FBB" w:rsidRDefault="002B75C4">
            <w:r>
              <w:t>-36.415,42</w:t>
            </w:r>
          </w:p>
        </w:tc>
        <w:tc>
          <w:tcPr>
            <w:tcW w:w="554" w:type="pct"/>
            <w:vAlign w:val="center"/>
          </w:tcPr>
          <w:p w:rsidR="000E6FBB" w:rsidRDefault="002B75C4">
            <w:r>
              <w:t>-240.812,38</w:t>
            </w:r>
          </w:p>
        </w:tc>
        <w:tc>
          <w:tcPr>
            <w:tcW w:w="479" w:type="pct"/>
            <w:vAlign w:val="center"/>
          </w:tcPr>
          <w:p w:rsidR="000E6FBB" w:rsidRDefault="002B75C4">
            <w:r>
              <w:t>167.909,53</w:t>
            </w:r>
          </w:p>
        </w:tc>
        <w:tc>
          <w:tcPr>
            <w:tcW w:w="470" w:type="pct"/>
            <w:vAlign w:val="center"/>
          </w:tcPr>
          <w:p w:rsidR="000E6FBB" w:rsidRDefault="002B75C4">
            <w:r>
              <w:t>16.067,81</w:t>
            </w:r>
          </w:p>
        </w:tc>
        <w:tc>
          <w:tcPr>
            <w:tcW w:w="526" w:type="pct"/>
            <w:vAlign w:val="center"/>
          </w:tcPr>
          <w:p w:rsidR="000E6FBB" w:rsidRDefault="002B75C4">
            <w:r>
              <w:t>-1.005.760,92</w:t>
            </w:r>
          </w:p>
        </w:tc>
      </w:tr>
      <w:tr w:rsidR="000E6FBB">
        <w:tc>
          <w:tcPr>
            <w:tcW w:w="432" w:type="pct"/>
            <w:vAlign w:val="center"/>
          </w:tcPr>
          <w:p w:rsidR="000E6FBB" w:rsidRDefault="002B75C4">
            <w:r>
              <w:t> </w:t>
            </w:r>
          </w:p>
        </w:tc>
        <w:tc>
          <w:tcPr>
            <w:tcW w:w="617" w:type="pct"/>
            <w:vAlign w:val="center"/>
          </w:tcPr>
          <w:p w:rsidR="000E6FBB" w:rsidRDefault="002B75C4">
            <w:r>
              <w:t>Ukupno preneseno 922</w:t>
            </w:r>
          </w:p>
        </w:tc>
        <w:tc>
          <w:tcPr>
            <w:tcW w:w="485" w:type="pct"/>
            <w:vAlign w:val="center"/>
          </w:tcPr>
          <w:p w:rsidR="000E6FBB" w:rsidRDefault="002B75C4">
            <w:r>
              <w:t>0</w:t>
            </w:r>
          </w:p>
        </w:tc>
        <w:tc>
          <w:tcPr>
            <w:tcW w:w="475" w:type="pct"/>
            <w:vAlign w:val="center"/>
          </w:tcPr>
          <w:p w:rsidR="000E6FBB" w:rsidRDefault="002B75C4">
            <w:r>
              <w:t>186.103,06</w:t>
            </w:r>
          </w:p>
        </w:tc>
        <w:tc>
          <w:tcPr>
            <w:tcW w:w="491" w:type="pct"/>
            <w:vAlign w:val="center"/>
          </w:tcPr>
          <w:p w:rsidR="000E6FBB" w:rsidRDefault="002B75C4">
            <w:r>
              <w:t>1.211.541,51</w:t>
            </w:r>
          </w:p>
        </w:tc>
        <w:tc>
          <w:tcPr>
            <w:tcW w:w="465" w:type="pct"/>
            <w:vAlign w:val="center"/>
          </w:tcPr>
          <w:p w:rsidR="000E6FBB" w:rsidRDefault="002B75C4">
            <w:r>
              <w:t>180.054,13</w:t>
            </w:r>
          </w:p>
        </w:tc>
        <w:tc>
          <w:tcPr>
            <w:tcW w:w="554" w:type="pct"/>
            <w:vAlign w:val="center"/>
          </w:tcPr>
          <w:p w:rsidR="000E6FBB" w:rsidRDefault="002B75C4">
            <w:r>
              <w:t>708.014,79</w:t>
            </w:r>
          </w:p>
        </w:tc>
        <w:tc>
          <w:tcPr>
            <w:tcW w:w="479" w:type="pct"/>
            <w:vAlign w:val="center"/>
          </w:tcPr>
          <w:p w:rsidR="000E6FBB" w:rsidRDefault="002B75C4">
            <w:r>
              <w:t>0</w:t>
            </w:r>
          </w:p>
        </w:tc>
        <w:tc>
          <w:tcPr>
            <w:tcW w:w="470" w:type="pct"/>
            <w:vAlign w:val="center"/>
          </w:tcPr>
          <w:p w:rsidR="000E6FBB" w:rsidRDefault="002B75C4">
            <w:r>
              <w:t>-9.000,04</w:t>
            </w:r>
          </w:p>
        </w:tc>
        <w:tc>
          <w:tcPr>
            <w:tcW w:w="526" w:type="pct"/>
            <w:vAlign w:val="center"/>
          </w:tcPr>
          <w:p w:rsidR="000E6FBB" w:rsidRDefault="002B75C4">
            <w:r>
              <w:t>2.276.713,45</w:t>
            </w:r>
          </w:p>
        </w:tc>
      </w:tr>
      <w:tr w:rsidR="000E6FBB">
        <w:tc>
          <w:tcPr>
            <w:tcW w:w="432" w:type="pct"/>
            <w:vAlign w:val="center"/>
          </w:tcPr>
          <w:p w:rsidR="000E6FBB" w:rsidRDefault="002B75C4">
            <w:r>
              <w:t> </w:t>
            </w:r>
          </w:p>
        </w:tc>
        <w:tc>
          <w:tcPr>
            <w:tcW w:w="617" w:type="pct"/>
            <w:vAlign w:val="center"/>
          </w:tcPr>
          <w:p w:rsidR="000E6FBB" w:rsidRDefault="002B75C4">
            <w:r>
              <w:t>Ukupno za prijenos u 2026.</w:t>
            </w:r>
          </w:p>
        </w:tc>
        <w:tc>
          <w:tcPr>
            <w:tcW w:w="485" w:type="pct"/>
            <w:vAlign w:val="center"/>
          </w:tcPr>
          <w:p w:rsidR="000E6FBB" w:rsidRDefault="002B75C4">
            <w:r>
              <w:t>-801.742,01</w:t>
            </w:r>
          </w:p>
        </w:tc>
        <w:tc>
          <w:tcPr>
            <w:tcW w:w="475" w:type="pct"/>
            <w:vAlign w:val="center"/>
          </w:tcPr>
          <w:p w:rsidR="000E6FBB" w:rsidRDefault="002B75C4">
            <w:r>
              <w:t>156.932,83</w:t>
            </w:r>
          </w:p>
        </w:tc>
        <w:tc>
          <w:tcPr>
            <w:tcW w:w="491" w:type="pct"/>
            <w:vAlign w:val="center"/>
          </w:tcPr>
          <w:p w:rsidR="000E6FBB" w:rsidRDefault="002B75C4">
            <w:r>
              <w:t>1.129.943,29</w:t>
            </w:r>
          </w:p>
        </w:tc>
        <w:tc>
          <w:tcPr>
            <w:tcW w:w="465" w:type="pct"/>
            <w:vAlign w:val="center"/>
          </w:tcPr>
          <w:p w:rsidR="000E6FBB" w:rsidRDefault="002B75C4">
            <w:r>
              <w:t>143.638,71</w:t>
            </w:r>
          </w:p>
        </w:tc>
        <w:tc>
          <w:tcPr>
            <w:tcW w:w="554" w:type="pct"/>
            <w:vAlign w:val="center"/>
          </w:tcPr>
          <w:p w:rsidR="000E6FBB" w:rsidRDefault="002B75C4">
            <w:r>
              <w:t>467.202,41</w:t>
            </w:r>
          </w:p>
        </w:tc>
        <w:tc>
          <w:tcPr>
            <w:tcW w:w="479" w:type="pct"/>
            <w:vAlign w:val="center"/>
          </w:tcPr>
          <w:p w:rsidR="000E6FBB" w:rsidRDefault="002B75C4">
            <w:r>
              <w:t>167.909,53</w:t>
            </w:r>
          </w:p>
        </w:tc>
        <w:tc>
          <w:tcPr>
            <w:tcW w:w="470" w:type="pct"/>
            <w:vAlign w:val="center"/>
          </w:tcPr>
          <w:p w:rsidR="000E6FBB" w:rsidRDefault="002B75C4">
            <w:r>
              <w:t>7.067,77</w:t>
            </w:r>
          </w:p>
        </w:tc>
        <w:tc>
          <w:tcPr>
            <w:tcW w:w="526" w:type="pct"/>
            <w:vAlign w:val="center"/>
          </w:tcPr>
          <w:p w:rsidR="000E6FBB" w:rsidRDefault="002B75C4">
            <w:r>
              <w:t>1.270.952,53</w:t>
            </w:r>
          </w:p>
        </w:tc>
      </w:tr>
    </w:tbl>
    <w:p w:rsidR="000E6FBB" w:rsidRDefault="002B75C4">
      <w:r>
        <w:t xml:space="preserve">Smanjenje rezultata poslovanja tekuće 2025. </w:t>
      </w:r>
      <w:proofErr w:type="gramStart"/>
      <w:r>
        <w:t>godine</w:t>
      </w:r>
      <w:proofErr w:type="gramEnd"/>
      <w:r>
        <w:t xml:space="preserve"> iskazano je manjkom prihoda i primitaka u iznosu 1.005.760,92 eur (Šifra Y005). Isto je nastalo većinom zbog novog načina evidentiranja rashoda plaće za 12. </w:t>
      </w:r>
      <w:proofErr w:type="gramStart"/>
      <w:r>
        <w:t>mjesec</w:t>
      </w:r>
      <w:proofErr w:type="gramEnd"/>
      <w:r>
        <w:t xml:space="preserve"> 2025., koji rashod se prema novom Praviln</w:t>
      </w:r>
      <w:r>
        <w:t xml:space="preserve">iku od 01.01.2025. </w:t>
      </w:r>
      <w:proofErr w:type="gramStart"/>
      <w:r>
        <w:t>više</w:t>
      </w:r>
      <w:proofErr w:type="gramEnd"/>
      <w:r>
        <w:t xml:space="preserve"> ne razgraničava na podskupini 193 – Kontinuirani rashodi budućih razdoblja. Stoga je u 2025. </w:t>
      </w:r>
      <w:proofErr w:type="gramStart"/>
      <w:r>
        <w:t>godini</w:t>
      </w:r>
      <w:proofErr w:type="gramEnd"/>
      <w:r>
        <w:t xml:space="preserve"> evidentirano 13 rashoda za plaće i 12 prihoda za plaće, što je rezultiralo tekućim manjkom prihoda i primitaka za jednu mjesečnu pla</w:t>
      </w:r>
      <w:r>
        <w:t xml:space="preserve">ću. Novim Programskim ugovorom za razdoblje 01.10.2025.-30.09.2029., koji se primjenjuje </w:t>
      </w:r>
      <w:proofErr w:type="gramStart"/>
      <w:r>
        <w:t>od</w:t>
      </w:r>
      <w:proofErr w:type="gramEnd"/>
      <w:r>
        <w:t xml:space="preserve"> 01.10.2025., a sklopljen je između Ministarstva znanosti, obrazovanja i mladih i Sveučilišta u Rijeci, ugovoreno je financiranje osnovne, razvojne i izvedbene prora</w:t>
      </w:r>
      <w:r>
        <w:t xml:space="preserve">čunske komponente Sveučilišta sredstvima državnog proračuna Republike Hrvatske. Međutim, izostalo je financiranje dijela osnovne proračunske komponente </w:t>
      </w:r>
      <w:proofErr w:type="gramStart"/>
      <w:r>
        <w:t>od</w:t>
      </w:r>
      <w:proofErr w:type="gramEnd"/>
      <w:r>
        <w:t xml:space="preserve"> strane Ministarstva znanosti, obrazovanja i mladih za tromjesečno razdoblje 01.10.-31.12.2025. </w:t>
      </w:r>
      <w:proofErr w:type="gramStart"/>
      <w:r>
        <w:t>u</w:t>
      </w:r>
      <w:proofErr w:type="gramEnd"/>
      <w:r>
        <w:t xml:space="preserve"> izno</w:t>
      </w:r>
      <w:r>
        <w:t xml:space="preserve">su 107.212,32 eur.  Također, </w:t>
      </w:r>
      <w:proofErr w:type="gramStart"/>
      <w:r>
        <w:t>na</w:t>
      </w:r>
      <w:proofErr w:type="gramEnd"/>
      <w:r>
        <w:t xml:space="preserve"> tekući manjak prihoda i primitaka utjecalo je i predfinanciranje EU projekata, veće financiranje studentskih aktivnosti, dodjeljivanje potpora mentorima uspješno obranjenih doktorskih radova, poticanja znanstvene izvrsnosti </w:t>
      </w:r>
      <w:r>
        <w:t>u cilju povećanja kvalitete znanstvenih publikacija.</w:t>
      </w:r>
    </w:p>
    <w:p w:rsidR="000E6FBB" w:rsidRDefault="002B75C4">
      <w:r>
        <w:br/>
      </w:r>
    </w:p>
    <w:p w:rsidR="000E6FBB" w:rsidRDefault="002B75C4">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w:t>
            </w:r>
          </w:p>
        </w:tc>
        <w:tc>
          <w:tcPr>
            <w:tcW w:w="3180" w:type="dxa"/>
            <w:tcMar>
              <w:top w:w="0" w:type="dxa"/>
              <w:bottom w:w="0" w:type="dxa"/>
            </w:tcMar>
            <w:vAlign w:val="center"/>
          </w:tcPr>
          <w:p w:rsidR="000E6FBB" w:rsidRDefault="002B75C4">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rsidR="000E6FBB" w:rsidRDefault="002B75C4">
            <w:pPr>
              <w:keepNext/>
              <w:keepLines/>
              <w:spacing w:after="0" w:line="240" w:lineRule="auto"/>
            </w:pPr>
            <w:r>
              <w:rPr>
                <w:sz w:val="18"/>
              </w:rPr>
              <w:t>6</w:t>
            </w:r>
          </w:p>
        </w:tc>
        <w:tc>
          <w:tcPr>
            <w:tcW w:w="1860" w:type="dxa"/>
            <w:tcMar>
              <w:top w:w="0" w:type="dxa"/>
              <w:bottom w:w="0" w:type="dxa"/>
            </w:tcMar>
            <w:vAlign w:val="center"/>
          </w:tcPr>
          <w:p w:rsidR="000E6FBB" w:rsidRDefault="002B75C4">
            <w:pPr>
              <w:keepNext/>
              <w:keepLines/>
              <w:spacing w:after="0" w:line="240" w:lineRule="auto"/>
              <w:jc w:val="right"/>
            </w:pPr>
            <w:r>
              <w:rPr>
                <w:sz w:val="18"/>
              </w:rPr>
              <w:t>9.739.528,91</w:t>
            </w:r>
          </w:p>
        </w:tc>
        <w:tc>
          <w:tcPr>
            <w:tcW w:w="1860" w:type="dxa"/>
            <w:tcMar>
              <w:top w:w="0" w:type="dxa"/>
              <w:bottom w:w="0" w:type="dxa"/>
            </w:tcMar>
            <w:vAlign w:val="center"/>
          </w:tcPr>
          <w:p w:rsidR="000E6FBB" w:rsidRDefault="002B75C4">
            <w:pPr>
              <w:keepNext/>
              <w:keepLines/>
              <w:spacing w:after="0" w:line="240" w:lineRule="auto"/>
              <w:jc w:val="right"/>
            </w:pPr>
            <w:r>
              <w:rPr>
                <w:sz w:val="18"/>
              </w:rPr>
              <w:t>10.622.129,41</w:t>
            </w:r>
          </w:p>
        </w:tc>
        <w:tc>
          <w:tcPr>
            <w:tcW w:w="700" w:type="dxa"/>
            <w:tcMar>
              <w:top w:w="0" w:type="dxa"/>
              <w:bottom w:w="0" w:type="dxa"/>
            </w:tcMar>
            <w:vAlign w:val="center"/>
          </w:tcPr>
          <w:p w:rsidR="000E6FBB" w:rsidRDefault="002B75C4">
            <w:pPr>
              <w:keepNext/>
              <w:keepLines/>
              <w:spacing w:after="0" w:line="240" w:lineRule="auto"/>
              <w:jc w:val="right"/>
            </w:pPr>
            <w:r>
              <w:rPr>
                <w:sz w:val="18"/>
              </w:rPr>
              <w:t>109,1</w:t>
            </w:r>
          </w:p>
        </w:tc>
      </w:tr>
    </w:tbl>
    <w:p w:rsidR="000E6FBB" w:rsidRDefault="000E6FBB">
      <w:pPr>
        <w:spacing w:after="0"/>
      </w:pPr>
    </w:p>
    <w:p w:rsidR="000E6FBB" w:rsidRDefault="002B75C4">
      <w:r>
        <w:t xml:space="preserve">Prihodi poslovanja Tehničkog fakulteta (šifra 6), u razdoblju </w:t>
      </w:r>
      <w:proofErr w:type="gramStart"/>
      <w:r>
        <w:t>od</w:t>
      </w:r>
      <w:proofErr w:type="gramEnd"/>
      <w:r>
        <w:t xml:space="preserve"> 1. </w:t>
      </w:r>
      <w:proofErr w:type="gramStart"/>
      <w:r>
        <w:t>siječnja</w:t>
      </w:r>
      <w:proofErr w:type="gramEnd"/>
      <w:r>
        <w:t xml:space="preserve"> do 31. </w:t>
      </w:r>
      <w:proofErr w:type="gramStart"/>
      <w:r>
        <w:t>prosinca</w:t>
      </w:r>
      <w:proofErr w:type="gramEnd"/>
      <w:r>
        <w:t xml:space="preserve"> 2025. </w:t>
      </w:r>
      <w:proofErr w:type="gramStart"/>
      <w:r>
        <w:t>godine</w:t>
      </w:r>
      <w:proofErr w:type="gramEnd"/>
      <w:r>
        <w:t xml:space="preserve"> iznosili su 10.622.129,41 eur, što je za 9% više od ostvarenih prihoda u istom razdoblju prethodne godine i 2,5% manje od planiranih prihoda poslovanj</w:t>
      </w:r>
      <w:r>
        <w:t xml:space="preserve">a. Isto je najvećim dijelom rezultat povećanja prihoda iz nadležnog proračuna (šifra 67) za 19% i povećanja tekućih donacija od pravnih i fizičkih osoba izvan općeg proračuna u iznosu (šifra 663) za 447%, a što se odnosi na ugovorene istraživačko-razvojne </w:t>
      </w:r>
      <w:r>
        <w:t xml:space="preserve">EU projekte s trgovačkim društvima ili udrugama, </w:t>
      </w:r>
      <w:proofErr w:type="gramStart"/>
      <w:r>
        <w:t>koja</w:t>
      </w:r>
      <w:proofErr w:type="gramEnd"/>
      <w:r>
        <w:t xml:space="preserve"> sredstva je Fakultet ostvarivao prijenosom od subjekata izvan općeg proračuna.</w:t>
      </w:r>
    </w:p>
    <w:p w:rsidR="000E6FBB" w:rsidRDefault="002B75C4">
      <w:r>
        <w:t xml:space="preserve">U ukupnim prihodima poslovanja najveći udio od 83% imaju prihodi iz nadležnog proračuna (šifra 67) 8.821.389,25 eur, zatim </w:t>
      </w:r>
      <w:r>
        <w:t>8% pomoći iz inozemstva i od subjekata unutar općeg proračuna  879.470,05 eur (šifra 63), 5% prihodi od upravnih i administrativnih pristojbi, pristojbi po posebnim propisima i naknada 529.686,57 eur (šifra 65), udio od 3% ostvaruju prihodi od prodaje proi</w:t>
      </w:r>
      <w:r>
        <w:t>zvoda i robe te pruženih usluga i prihodi od donacija 354.939,91 eur (šifra 66), dok je udio prihoda od imovine 35.910,30 eur (šifra 64) manji od 1%.</w:t>
      </w:r>
    </w:p>
    <w:p w:rsidR="000E6FBB" w:rsidRDefault="000E6FBB"/>
    <w:p w:rsidR="000E6FBB" w:rsidRDefault="002B75C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63</w:t>
            </w:r>
          </w:p>
        </w:tc>
        <w:tc>
          <w:tcPr>
            <w:tcW w:w="3180" w:type="dxa"/>
            <w:tcMar>
              <w:top w:w="0" w:type="dxa"/>
              <w:bottom w:w="0" w:type="dxa"/>
            </w:tcMar>
            <w:vAlign w:val="center"/>
          </w:tcPr>
          <w:p w:rsidR="000E6FBB" w:rsidRDefault="002B75C4">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0E6FBB" w:rsidRDefault="002B75C4">
            <w:pPr>
              <w:keepNext/>
              <w:keepLines/>
              <w:spacing w:after="0" w:line="240" w:lineRule="auto"/>
            </w:pPr>
            <w:r>
              <w:rPr>
                <w:sz w:val="18"/>
              </w:rPr>
              <w:t>63</w:t>
            </w:r>
          </w:p>
        </w:tc>
        <w:tc>
          <w:tcPr>
            <w:tcW w:w="1860" w:type="dxa"/>
            <w:tcMar>
              <w:top w:w="0" w:type="dxa"/>
              <w:bottom w:w="0" w:type="dxa"/>
            </w:tcMar>
            <w:vAlign w:val="center"/>
          </w:tcPr>
          <w:p w:rsidR="000E6FBB" w:rsidRDefault="002B75C4">
            <w:pPr>
              <w:keepNext/>
              <w:keepLines/>
              <w:spacing w:after="0" w:line="240" w:lineRule="auto"/>
              <w:jc w:val="right"/>
            </w:pPr>
            <w:r>
              <w:rPr>
                <w:sz w:val="18"/>
              </w:rPr>
              <w:t>1.472.767,30</w:t>
            </w:r>
          </w:p>
        </w:tc>
        <w:tc>
          <w:tcPr>
            <w:tcW w:w="1860" w:type="dxa"/>
            <w:tcMar>
              <w:top w:w="0" w:type="dxa"/>
              <w:bottom w:w="0" w:type="dxa"/>
            </w:tcMar>
            <w:vAlign w:val="center"/>
          </w:tcPr>
          <w:p w:rsidR="000E6FBB" w:rsidRDefault="002B75C4">
            <w:pPr>
              <w:keepNext/>
              <w:keepLines/>
              <w:spacing w:after="0" w:line="240" w:lineRule="auto"/>
              <w:jc w:val="right"/>
            </w:pPr>
            <w:r>
              <w:rPr>
                <w:sz w:val="18"/>
              </w:rPr>
              <w:t>879.470,05</w:t>
            </w:r>
          </w:p>
        </w:tc>
        <w:tc>
          <w:tcPr>
            <w:tcW w:w="700" w:type="dxa"/>
            <w:tcMar>
              <w:top w:w="0" w:type="dxa"/>
              <w:bottom w:w="0" w:type="dxa"/>
            </w:tcMar>
            <w:vAlign w:val="center"/>
          </w:tcPr>
          <w:p w:rsidR="000E6FBB" w:rsidRDefault="002B75C4">
            <w:pPr>
              <w:keepNext/>
              <w:keepLines/>
              <w:spacing w:after="0" w:line="240" w:lineRule="auto"/>
              <w:jc w:val="right"/>
            </w:pPr>
            <w:r>
              <w:rPr>
                <w:sz w:val="18"/>
              </w:rPr>
              <w:t>59,7</w:t>
            </w:r>
          </w:p>
        </w:tc>
      </w:tr>
    </w:tbl>
    <w:p w:rsidR="000E6FBB" w:rsidRDefault="000E6FBB">
      <w:pPr>
        <w:spacing w:after="0"/>
      </w:pPr>
    </w:p>
    <w:p w:rsidR="000E6FBB" w:rsidRDefault="002B75C4">
      <w:r>
        <w:t xml:space="preserve">Pomoći iz inozemstva i </w:t>
      </w:r>
      <w:proofErr w:type="gramStart"/>
      <w:r>
        <w:t>od</w:t>
      </w:r>
      <w:proofErr w:type="gramEnd"/>
      <w:r>
        <w:t xml:space="preserve"> subjekata unutar općeg proračuna (šifra 63) umanjene su za 40%, a odnose se na primljene prihode za EU projekte. </w:t>
      </w:r>
    </w:p>
    <w:p w:rsidR="000E6FBB" w:rsidRDefault="000E6FBB"/>
    <w:p w:rsidR="000E6FBB" w:rsidRDefault="002B75C4">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632</w:t>
            </w:r>
          </w:p>
        </w:tc>
        <w:tc>
          <w:tcPr>
            <w:tcW w:w="3180" w:type="dxa"/>
            <w:tcMar>
              <w:top w:w="0" w:type="dxa"/>
              <w:bottom w:w="0" w:type="dxa"/>
            </w:tcMar>
            <w:vAlign w:val="center"/>
          </w:tcPr>
          <w:p w:rsidR="000E6FBB" w:rsidRDefault="002B75C4">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0E6FBB" w:rsidRDefault="002B75C4">
            <w:pPr>
              <w:keepNext/>
              <w:keepLines/>
              <w:spacing w:after="0" w:line="240" w:lineRule="auto"/>
            </w:pPr>
            <w:r>
              <w:rPr>
                <w:sz w:val="18"/>
              </w:rPr>
              <w:t>632</w:t>
            </w:r>
          </w:p>
        </w:tc>
        <w:tc>
          <w:tcPr>
            <w:tcW w:w="1860" w:type="dxa"/>
            <w:tcMar>
              <w:top w:w="0" w:type="dxa"/>
              <w:bottom w:w="0" w:type="dxa"/>
            </w:tcMar>
            <w:vAlign w:val="center"/>
          </w:tcPr>
          <w:p w:rsidR="000E6FBB" w:rsidRDefault="002B75C4">
            <w:pPr>
              <w:keepNext/>
              <w:keepLines/>
              <w:spacing w:after="0" w:line="240" w:lineRule="auto"/>
              <w:jc w:val="right"/>
            </w:pPr>
            <w:r>
              <w:rPr>
                <w:sz w:val="18"/>
              </w:rPr>
              <w:t>211.585,19</w:t>
            </w:r>
          </w:p>
        </w:tc>
        <w:tc>
          <w:tcPr>
            <w:tcW w:w="1860" w:type="dxa"/>
            <w:tcMar>
              <w:top w:w="0" w:type="dxa"/>
              <w:bottom w:w="0" w:type="dxa"/>
            </w:tcMar>
            <w:vAlign w:val="center"/>
          </w:tcPr>
          <w:p w:rsidR="000E6FBB" w:rsidRDefault="002B75C4">
            <w:pPr>
              <w:keepNext/>
              <w:keepLines/>
              <w:spacing w:after="0" w:line="240" w:lineRule="auto"/>
              <w:jc w:val="right"/>
            </w:pPr>
            <w:r>
              <w:rPr>
                <w:sz w:val="18"/>
              </w:rPr>
              <w:t>37.544,90</w:t>
            </w:r>
          </w:p>
        </w:tc>
        <w:tc>
          <w:tcPr>
            <w:tcW w:w="700" w:type="dxa"/>
            <w:tcMar>
              <w:top w:w="0" w:type="dxa"/>
              <w:bottom w:w="0" w:type="dxa"/>
            </w:tcMar>
            <w:vAlign w:val="center"/>
          </w:tcPr>
          <w:p w:rsidR="000E6FBB" w:rsidRDefault="002B75C4">
            <w:pPr>
              <w:keepNext/>
              <w:keepLines/>
              <w:spacing w:after="0" w:line="240" w:lineRule="auto"/>
              <w:jc w:val="right"/>
            </w:pPr>
            <w:r>
              <w:rPr>
                <w:sz w:val="18"/>
              </w:rPr>
              <w:t>17,7</w:t>
            </w:r>
          </w:p>
        </w:tc>
      </w:tr>
    </w:tbl>
    <w:p w:rsidR="000E6FBB" w:rsidRDefault="000E6FBB">
      <w:pPr>
        <w:spacing w:after="0"/>
      </w:pPr>
    </w:p>
    <w:p w:rsidR="000E6FBB" w:rsidRDefault="002B75C4">
      <w:r>
        <w:t>Prihodi na poziciji pomoći od međunarodnih organizacija te institucija i tijela EU u iznosu 37.544,90 eur (šifra 632), ostvareni su za projekte: Horizon INNO2MARE – Strengthening the capacity for excellence of Slovenian and Croatian innovation ecosystems t</w:t>
      </w:r>
      <w:r>
        <w:t>o support the digital and green transitions of maritime regions, Fakulteta za strojništvo Ljubljana, Slovenija, 3.910,50 eur; Erasmus+ TRAINEE, University of Malta, 16.704,00 eur; Erasmus+ TAI, CMEPIUS, Univerza v Ljubljani, Slovenija, 9.000,00 eur; Erasmu</w:t>
      </w:r>
      <w:r>
        <w:t>s+ BLISS, KTH Royal Institute of Technology, Švedska 7.930,40 eur.</w:t>
      </w:r>
    </w:p>
    <w:p w:rsidR="000E6FBB" w:rsidRDefault="000E6FBB"/>
    <w:p w:rsidR="000E6FBB" w:rsidRDefault="002B75C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634</w:t>
            </w:r>
          </w:p>
        </w:tc>
        <w:tc>
          <w:tcPr>
            <w:tcW w:w="3180" w:type="dxa"/>
            <w:tcMar>
              <w:top w:w="0" w:type="dxa"/>
              <w:bottom w:w="0" w:type="dxa"/>
            </w:tcMar>
            <w:vAlign w:val="center"/>
          </w:tcPr>
          <w:p w:rsidR="000E6FBB" w:rsidRDefault="002B75C4">
            <w:pPr>
              <w:keepNext/>
              <w:keepLines/>
              <w:spacing w:after="0" w:line="240" w:lineRule="auto"/>
            </w:pPr>
            <w:r>
              <w:rPr>
                <w:sz w:val="18"/>
              </w:rPr>
              <w:t xml:space="preserve">Pomoći od </w:t>
            </w:r>
            <w:r>
              <w:rPr>
                <w:sz w:val="18"/>
              </w:rPr>
              <w:t>izvanproračunskih korisnika (šifre 6341+6342)</w:t>
            </w:r>
          </w:p>
        </w:tc>
        <w:tc>
          <w:tcPr>
            <w:tcW w:w="700" w:type="dxa"/>
            <w:tcMar>
              <w:top w:w="0" w:type="dxa"/>
              <w:bottom w:w="0" w:type="dxa"/>
            </w:tcMar>
            <w:vAlign w:val="center"/>
          </w:tcPr>
          <w:p w:rsidR="000E6FBB" w:rsidRDefault="002B75C4">
            <w:pPr>
              <w:keepNext/>
              <w:keepLines/>
              <w:spacing w:after="0" w:line="240" w:lineRule="auto"/>
            </w:pPr>
            <w:r>
              <w:rPr>
                <w:sz w:val="18"/>
              </w:rPr>
              <w:t>634</w:t>
            </w:r>
          </w:p>
        </w:tc>
        <w:tc>
          <w:tcPr>
            <w:tcW w:w="1860" w:type="dxa"/>
            <w:tcMar>
              <w:top w:w="0" w:type="dxa"/>
              <w:bottom w:w="0" w:type="dxa"/>
            </w:tcMar>
            <w:vAlign w:val="center"/>
          </w:tcPr>
          <w:p w:rsidR="000E6FBB" w:rsidRDefault="002B75C4">
            <w:pPr>
              <w:keepNext/>
              <w:keepLines/>
              <w:spacing w:after="0" w:line="240" w:lineRule="auto"/>
              <w:jc w:val="right"/>
            </w:pPr>
            <w:r>
              <w:rPr>
                <w:sz w:val="18"/>
              </w:rPr>
              <w:t>31.669,46</w:t>
            </w:r>
          </w:p>
        </w:tc>
        <w:tc>
          <w:tcPr>
            <w:tcW w:w="1860" w:type="dxa"/>
            <w:tcMar>
              <w:top w:w="0" w:type="dxa"/>
              <w:bottom w:w="0" w:type="dxa"/>
            </w:tcMar>
            <w:vAlign w:val="center"/>
          </w:tcPr>
          <w:p w:rsidR="000E6FBB" w:rsidRDefault="002B75C4">
            <w:pPr>
              <w:keepNext/>
              <w:keepLines/>
              <w:spacing w:after="0" w:line="240" w:lineRule="auto"/>
              <w:jc w:val="right"/>
            </w:pPr>
            <w:r>
              <w:rPr>
                <w:sz w:val="18"/>
              </w:rPr>
              <w:t>69.374,48</w:t>
            </w:r>
          </w:p>
        </w:tc>
        <w:tc>
          <w:tcPr>
            <w:tcW w:w="700" w:type="dxa"/>
            <w:tcMar>
              <w:top w:w="0" w:type="dxa"/>
              <w:bottom w:w="0" w:type="dxa"/>
            </w:tcMar>
            <w:vAlign w:val="center"/>
          </w:tcPr>
          <w:p w:rsidR="000E6FBB" w:rsidRDefault="002B75C4">
            <w:pPr>
              <w:keepNext/>
              <w:keepLines/>
              <w:spacing w:after="0" w:line="240" w:lineRule="auto"/>
              <w:jc w:val="right"/>
            </w:pPr>
            <w:r>
              <w:rPr>
                <w:sz w:val="18"/>
              </w:rPr>
              <w:t>219,1</w:t>
            </w:r>
          </w:p>
        </w:tc>
      </w:tr>
    </w:tbl>
    <w:p w:rsidR="000E6FBB" w:rsidRDefault="000E6FBB">
      <w:pPr>
        <w:spacing w:after="0"/>
      </w:pPr>
    </w:p>
    <w:p w:rsidR="000E6FBB" w:rsidRDefault="002B75C4">
      <w:r>
        <w:t xml:space="preserve">Prihodi </w:t>
      </w:r>
      <w:proofErr w:type="gramStart"/>
      <w:r>
        <w:t>od</w:t>
      </w:r>
      <w:proofErr w:type="gramEnd"/>
      <w:r>
        <w:t xml:space="preserve"> izvanproračunskih korisnika (šifra 634), ostvareni su za projekt Energetski park, Fond za zaštitu okoliša i energetsku učinkovitost 69.374,48 eur.</w:t>
      </w:r>
    </w:p>
    <w:p w:rsidR="000E6FBB" w:rsidRDefault="000E6FBB"/>
    <w:p w:rsidR="000E6FBB" w:rsidRDefault="002B75C4">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Račun </w:t>
            </w:r>
            <w:r>
              <w:rPr>
                <w:b/>
                <w:sz w:val="18"/>
              </w:rPr>
              <w:t>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639</w:t>
            </w:r>
          </w:p>
        </w:tc>
        <w:tc>
          <w:tcPr>
            <w:tcW w:w="3180" w:type="dxa"/>
            <w:tcMar>
              <w:top w:w="0" w:type="dxa"/>
              <w:bottom w:w="0" w:type="dxa"/>
            </w:tcMar>
            <w:vAlign w:val="center"/>
          </w:tcPr>
          <w:p w:rsidR="000E6FBB" w:rsidRDefault="002B75C4">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0E6FBB" w:rsidRDefault="002B75C4">
            <w:pPr>
              <w:keepNext/>
              <w:keepLines/>
              <w:spacing w:after="0" w:line="240" w:lineRule="auto"/>
            </w:pPr>
            <w:r>
              <w:rPr>
                <w:sz w:val="18"/>
              </w:rPr>
              <w:t>639</w:t>
            </w:r>
          </w:p>
        </w:tc>
        <w:tc>
          <w:tcPr>
            <w:tcW w:w="1860" w:type="dxa"/>
            <w:tcMar>
              <w:top w:w="0" w:type="dxa"/>
              <w:bottom w:w="0" w:type="dxa"/>
            </w:tcMar>
            <w:vAlign w:val="center"/>
          </w:tcPr>
          <w:p w:rsidR="000E6FBB" w:rsidRDefault="002B75C4">
            <w:pPr>
              <w:keepNext/>
              <w:keepLines/>
              <w:spacing w:after="0" w:line="240" w:lineRule="auto"/>
              <w:jc w:val="right"/>
            </w:pPr>
            <w:r>
              <w:rPr>
                <w:sz w:val="18"/>
              </w:rPr>
              <w:t>1.218.276,65</w:t>
            </w:r>
          </w:p>
        </w:tc>
        <w:tc>
          <w:tcPr>
            <w:tcW w:w="1860" w:type="dxa"/>
            <w:tcMar>
              <w:top w:w="0" w:type="dxa"/>
              <w:bottom w:w="0" w:type="dxa"/>
            </w:tcMar>
            <w:vAlign w:val="center"/>
          </w:tcPr>
          <w:p w:rsidR="000E6FBB" w:rsidRDefault="002B75C4">
            <w:pPr>
              <w:keepNext/>
              <w:keepLines/>
              <w:spacing w:after="0" w:line="240" w:lineRule="auto"/>
              <w:jc w:val="right"/>
            </w:pPr>
            <w:r>
              <w:rPr>
                <w:sz w:val="18"/>
              </w:rPr>
              <w:t>772.550,67</w:t>
            </w:r>
          </w:p>
        </w:tc>
        <w:tc>
          <w:tcPr>
            <w:tcW w:w="700" w:type="dxa"/>
            <w:tcMar>
              <w:top w:w="0" w:type="dxa"/>
              <w:bottom w:w="0" w:type="dxa"/>
            </w:tcMar>
            <w:vAlign w:val="center"/>
          </w:tcPr>
          <w:p w:rsidR="000E6FBB" w:rsidRDefault="002B75C4">
            <w:pPr>
              <w:keepNext/>
              <w:keepLines/>
              <w:spacing w:after="0" w:line="240" w:lineRule="auto"/>
              <w:jc w:val="right"/>
            </w:pPr>
            <w:r>
              <w:rPr>
                <w:sz w:val="18"/>
              </w:rPr>
              <w:t>63,4</w:t>
            </w:r>
          </w:p>
        </w:tc>
      </w:tr>
    </w:tbl>
    <w:p w:rsidR="000E6FBB" w:rsidRDefault="000E6FBB">
      <w:pPr>
        <w:spacing w:after="0"/>
      </w:pPr>
    </w:p>
    <w:p w:rsidR="000E6FBB" w:rsidRDefault="002B75C4">
      <w:r>
        <w:t>Prijenosi između proračunskih korisnika istog proračuna (šifra 639) u iznosu 772.550,67 eur, umanjeni su za 36% u odnosu na prethodnu godinu, a odnose se na  ostvarenje prihoda UniRi (potpore znanstvenim istraživanjima, stimulativne potpore, UniRi I</w:t>
      </w:r>
      <w:r>
        <w:t>NOVA projekti, sufinanciranje studentskog zbora, refundacije dolaznih mobilnosti, sufinanciranje istraživačke opreme, projekt Noć istraživača, COST Snoopy i sl.), zatim prihoda ostvarenih od Ministarstva znanosti, obrazovanja i mladih za sufinanciranje bil</w:t>
      </w:r>
      <w:r>
        <w:t>ateralnog Hrvatsko-slovenskog projekta, ostvarenih prihoda Hrvatske zaklade za znanost (projektno financiranje znanstvene djelatnosti, plaće za program doktoranada i poslijedoktoranada, program razvoja karijera mladih istraživača-NPOO), te prihoda za EU pr</w:t>
      </w:r>
      <w:r>
        <w:t>ojekte: EuroCC2, University of Stuttgart, Njemačka; SRCE - Sveučilišni računski centar Sveučilišta u Zagrebu; Erasmus+ EVERYONE, Agencija za mobilnost i programe EU, Sveučilište u Rijeci; Erasmus+ Girls go STEM Prehrambeno-biotehnološki fakultet Zagreb; Br</w:t>
      </w:r>
      <w:r>
        <w:t>ainClock NPOO, Medicinski fakultet Zagreb.</w:t>
      </w:r>
    </w:p>
    <w:p w:rsidR="000E6FBB" w:rsidRDefault="000E6FBB"/>
    <w:p w:rsidR="000E6FBB" w:rsidRDefault="002B75C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64</w:t>
            </w:r>
          </w:p>
        </w:tc>
        <w:tc>
          <w:tcPr>
            <w:tcW w:w="3180" w:type="dxa"/>
            <w:tcMar>
              <w:top w:w="0" w:type="dxa"/>
              <w:bottom w:w="0" w:type="dxa"/>
            </w:tcMar>
            <w:vAlign w:val="center"/>
          </w:tcPr>
          <w:p w:rsidR="000E6FBB" w:rsidRDefault="002B75C4">
            <w:pPr>
              <w:keepNext/>
              <w:keepLines/>
              <w:spacing w:after="0" w:line="240" w:lineRule="auto"/>
            </w:pPr>
            <w:r>
              <w:rPr>
                <w:sz w:val="18"/>
              </w:rPr>
              <w:t>Prihodi od imovine (šifre 641+642+643)</w:t>
            </w:r>
          </w:p>
        </w:tc>
        <w:tc>
          <w:tcPr>
            <w:tcW w:w="700" w:type="dxa"/>
            <w:tcMar>
              <w:top w:w="0" w:type="dxa"/>
              <w:bottom w:w="0" w:type="dxa"/>
            </w:tcMar>
            <w:vAlign w:val="center"/>
          </w:tcPr>
          <w:p w:rsidR="000E6FBB" w:rsidRDefault="002B75C4">
            <w:pPr>
              <w:keepNext/>
              <w:keepLines/>
              <w:spacing w:after="0" w:line="240" w:lineRule="auto"/>
            </w:pPr>
            <w:r>
              <w:rPr>
                <w:sz w:val="18"/>
              </w:rPr>
              <w:t>64</w:t>
            </w:r>
          </w:p>
        </w:tc>
        <w:tc>
          <w:tcPr>
            <w:tcW w:w="1860" w:type="dxa"/>
            <w:tcMar>
              <w:top w:w="0" w:type="dxa"/>
              <w:bottom w:w="0" w:type="dxa"/>
            </w:tcMar>
            <w:vAlign w:val="center"/>
          </w:tcPr>
          <w:p w:rsidR="000E6FBB" w:rsidRDefault="002B75C4">
            <w:pPr>
              <w:keepNext/>
              <w:keepLines/>
              <w:spacing w:after="0" w:line="240" w:lineRule="auto"/>
              <w:jc w:val="right"/>
            </w:pPr>
            <w:r>
              <w:rPr>
                <w:sz w:val="18"/>
              </w:rPr>
              <w:t>58.988,78</w:t>
            </w:r>
          </w:p>
        </w:tc>
        <w:tc>
          <w:tcPr>
            <w:tcW w:w="1860" w:type="dxa"/>
            <w:tcMar>
              <w:top w:w="0" w:type="dxa"/>
              <w:bottom w:w="0" w:type="dxa"/>
            </w:tcMar>
            <w:vAlign w:val="center"/>
          </w:tcPr>
          <w:p w:rsidR="000E6FBB" w:rsidRDefault="002B75C4">
            <w:pPr>
              <w:keepNext/>
              <w:keepLines/>
              <w:spacing w:after="0" w:line="240" w:lineRule="auto"/>
              <w:jc w:val="right"/>
            </w:pPr>
            <w:r>
              <w:rPr>
                <w:sz w:val="18"/>
              </w:rPr>
              <w:t>35.910,30</w:t>
            </w:r>
          </w:p>
        </w:tc>
        <w:tc>
          <w:tcPr>
            <w:tcW w:w="700" w:type="dxa"/>
            <w:tcMar>
              <w:top w:w="0" w:type="dxa"/>
              <w:bottom w:w="0" w:type="dxa"/>
            </w:tcMar>
            <w:vAlign w:val="center"/>
          </w:tcPr>
          <w:p w:rsidR="000E6FBB" w:rsidRDefault="002B75C4">
            <w:pPr>
              <w:keepNext/>
              <w:keepLines/>
              <w:spacing w:after="0" w:line="240" w:lineRule="auto"/>
              <w:jc w:val="right"/>
            </w:pPr>
            <w:r>
              <w:rPr>
                <w:sz w:val="18"/>
              </w:rPr>
              <w:t>60,9</w:t>
            </w:r>
          </w:p>
        </w:tc>
      </w:tr>
    </w:tbl>
    <w:p w:rsidR="000E6FBB" w:rsidRDefault="000E6FBB">
      <w:pPr>
        <w:spacing w:after="0"/>
      </w:pPr>
    </w:p>
    <w:p w:rsidR="000E6FBB" w:rsidRDefault="002B75C4">
      <w:r>
        <w:t xml:space="preserve">Prihodi </w:t>
      </w:r>
      <w:proofErr w:type="gramStart"/>
      <w:r>
        <w:t>od</w:t>
      </w:r>
      <w:proofErr w:type="gramEnd"/>
      <w:r>
        <w:t xml:space="preserve"> financijske imovine u iznosu 35.910,30 eur odnose se na pripis a vista kamate i kamate na oročena sredstva koje su u 2025. </w:t>
      </w:r>
      <w:proofErr w:type="gramStart"/>
      <w:r>
        <w:t>godini</w:t>
      </w:r>
      <w:proofErr w:type="gramEnd"/>
      <w:r>
        <w:t xml:space="preserve"> bile nepovoljnije u odnosu na ranija razdoblja (šifra 64).</w:t>
      </w:r>
    </w:p>
    <w:p w:rsidR="000E6FBB" w:rsidRDefault="000E6FBB"/>
    <w:p w:rsidR="000E6FBB" w:rsidRDefault="002B75C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w:t>
            </w:r>
            <w:r>
              <w:rPr>
                <w:b/>
                <w:sz w:val="18"/>
              </w:rPr>
              <w:t>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65</w:t>
            </w:r>
          </w:p>
        </w:tc>
        <w:tc>
          <w:tcPr>
            <w:tcW w:w="3180" w:type="dxa"/>
            <w:tcMar>
              <w:top w:w="0" w:type="dxa"/>
              <w:bottom w:w="0" w:type="dxa"/>
            </w:tcMar>
            <w:vAlign w:val="center"/>
          </w:tcPr>
          <w:p w:rsidR="000E6FBB" w:rsidRDefault="002B75C4">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0E6FBB" w:rsidRDefault="002B75C4">
            <w:pPr>
              <w:keepNext/>
              <w:keepLines/>
              <w:spacing w:after="0" w:line="240" w:lineRule="auto"/>
            </w:pPr>
            <w:r>
              <w:rPr>
                <w:sz w:val="18"/>
              </w:rPr>
              <w:t>65</w:t>
            </w:r>
          </w:p>
        </w:tc>
        <w:tc>
          <w:tcPr>
            <w:tcW w:w="1860" w:type="dxa"/>
            <w:tcMar>
              <w:top w:w="0" w:type="dxa"/>
              <w:bottom w:w="0" w:type="dxa"/>
            </w:tcMar>
            <w:vAlign w:val="center"/>
          </w:tcPr>
          <w:p w:rsidR="000E6FBB" w:rsidRDefault="002B75C4">
            <w:pPr>
              <w:keepNext/>
              <w:keepLines/>
              <w:spacing w:after="0" w:line="240" w:lineRule="auto"/>
              <w:jc w:val="right"/>
            </w:pPr>
            <w:r>
              <w:rPr>
                <w:sz w:val="18"/>
              </w:rPr>
              <w:t>559.705,77</w:t>
            </w:r>
          </w:p>
        </w:tc>
        <w:tc>
          <w:tcPr>
            <w:tcW w:w="1860" w:type="dxa"/>
            <w:tcMar>
              <w:top w:w="0" w:type="dxa"/>
              <w:bottom w:w="0" w:type="dxa"/>
            </w:tcMar>
            <w:vAlign w:val="center"/>
          </w:tcPr>
          <w:p w:rsidR="000E6FBB" w:rsidRDefault="002B75C4">
            <w:pPr>
              <w:keepNext/>
              <w:keepLines/>
              <w:spacing w:after="0" w:line="240" w:lineRule="auto"/>
              <w:jc w:val="right"/>
            </w:pPr>
            <w:r>
              <w:rPr>
                <w:sz w:val="18"/>
              </w:rPr>
              <w:t>529.686,57</w:t>
            </w:r>
          </w:p>
        </w:tc>
        <w:tc>
          <w:tcPr>
            <w:tcW w:w="700" w:type="dxa"/>
            <w:tcMar>
              <w:top w:w="0" w:type="dxa"/>
              <w:bottom w:w="0" w:type="dxa"/>
            </w:tcMar>
            <w:vAlign w:val="center"/>
          </w:tcPr>
          <w:p w:rsidR="000E6FBB" w:rsidRDefault="002B75C4">
            <w:pPr>
              <w:keepNext/>
              <w:keepLines/>
              <w:spacing w:after="0" w:line="240" w:lineRule="auto"/>
              <w:jc w:val="right"/>
            </w:pPr>
            <w:r>
              <w:rPr>
                <w:sz w:val="18"/>
              </w:rPr>
              <w:t>94,6</w:t>
            </w:r>
          </w:p>
        </w:tc>
      </w:tr>
    </w:tbl>
    <w:p w:rsidR="000E6FBB" w:rsidRDefault="000E6FBB">
      <w:pPr>
        <w:spacing w:after="0"/>
      </w:pPr>
    </w:p>
    <w:p w:rsidR="000E6FBB" w:rsidRDefault="002B75C4">
      <w:r>
        <w:t xml:space="preserve">Prihodi </w:t>
      </w:r>
      <w:proofErr w:type="gramStart"/>
      <w:r>
        <w:t>od</w:t>
      </w:r>
      <w:proofErr w:type="gramEnd"/>
      <w:r>
        <w:t xml:space="preserve"> upravnih i administrativnih pristojbi, pristojbi po posebnim propisima i naknada (šifra 65) obuhvaćaju prihode od sufinanciranja cijene usluge, participacije školarine i dr. u iznosu 529.686,57 eur. Isti prihodi smanjeni su za 5% u odnosu </w:t>
      </w:r>
      <w:proofErr w:type="gramStart"/>
      <w:r>
        <w:t>na</w:t>
      </w:r>
      <w:proofErr w:type="gramEnd"/>
      <w:r>
        <w:t xml:space="preserve"> ist</w:t>
      </w:r>
      <w:r>
        <w:t>o razdoblje prethodne godine.</w:t>
      </w:r>
    </w:p>
    <w:p w:rsidR="000E6FBB" w:rsidRDefault="000E6FBB"/>
    <w:p w:rsidR="000E6FBB" w:rsidRDefault="002B75C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66</w:t>
            </w:r>
          </w:p>
        </w:tc>
        <w:tc>
          <w:tcPr>
            <w:tcW w:w="3180" w:type="dxa"/>
            <w:tcMar>
              <w:top w:w="0" w:type="dxa"/>
              <w:bottom w:w="0" w:type="dxa"/>
            </w:tcMar>
            <w:vAlign w:val="center"/>
          </w:tcPr>
          <w:p w:rsidR="000E6FBB" w:rsidRDefault="002B75C4">
            <w:pPr>
              <w:keepNext/>
              <w:keepLines/>
              <w:spacing w:after="0" w:line="240" w:lineRule="auto"/>
            </w:pPr>
            <w:r>
              <w:rPr>
                <w:sz w:val="18"/>
              </w:rPr>
              <w:t xml:space="preserve">Prihodi od prodaje proizvoda i robe te pruženih usluga, </w:t>
            </w:r>
            <w:r>
              <w:rPr>
                <w:sz w:val="18"/>
              </w:rPr>
              <w:t>prihodi od donacija te povrati po protestiranim jamstvima (šifre 661+663)</w:t>
            </w:r>
          </w:p>
        </w:tc>
        <w:tc>
          <w:tcPr>
            <w:tcW w:w="700" w:type="dxa"/>
            <w:tcMar>
              <w:top w:w="0" w:type="dxa"/>
              <w:bottom w:w="0" w:type="dxa"/>
            </w:tcMar>
            <w:vAlign w:val="center"/>
          </w:tcPr>
          <w:p w:rsidR="000E6FBB" w:rsidRDefault="002B75C4">
            <w:pPr>
              <w:keepNext/>
              <w:keepLines/>
              <w:spacing w:after="0" w:line="240" w:lineRule="auto"/>
            </w:pPr>
            <w:r>
              <w:rPr>
                <w:sz w:val="18"/>
              </w:rPr>
              <w:t>66</w:t>
            </w:r>
          </w:p>
        </w:tc>
        <w:tc>
          <w:tcPr>
            <w:tcW w:w="1860" w:type="dxa"/>
            <w:tcMar>
              <w:top w:w="0" w:type="dxa"/>
              <w:bottom w:w="0" w:type="dxa"/>
            </w:tcMar>
            <w:vAlign w:val="center"/>
          </w:tcPr>
          <w:p w:rsidR="000E6FBB" w:rsidRDefault="002B75C4">
            <w:pPr>
              <w:keepNext/>
              <w:keepLines/>
              <w:spacing w:after="0" w:line="240" w:lineRule="auto"/>
              <w:jc w:val="right"/>
            </w:pPr>
            <w:r>
              <w:rPr>
                <w:sz w:val="18"/>
              </w:rPr>
              <w:t>234.767,15</w:t>
            </w:r>
          </w:p>
        </w:tc>
        <w:tc>
          <w:tcPr>
            <w:tcW w:w="1860" w:type="dxa"/>
            <w:tcMar>
              <w:top w:w="0" w:type="dxa"/>
              <w:bottom w:w="0" w:type="dxa"/>
            </w:tcMar>
            <w:vAlign w:val="center"/>
          </w:tcPr>
          <w:p w:rsidR="000E6FBB" w:rsidRDefault="002B75C4">
            <w:pPr>
              <w:keepNext/>
              <w:keepLines/>
              <w:spacing w:after="0" w:line="240" w:lineRule="auto"/>
              <w:jc w:val="right"/>
            </w:pPr>
            <w:r>
              <w:rPr>
                <w:sz w:val="18"/>
              </w:rPr>
              <w:t>354.939,91</w:t>
            </w:r>
          </w:p>
        </w:tc>
        <w:tc>
          <w:tcPr>
            <w:tcW w:w="700" w:type="dxa"/>
            <w:tcMar>
              <w:top w:w="0" w:type="dxa"/>
              <w:bottom w:w="0" w:type="dxa"/>
            </w:tcMar>
            <w:vAlign w:val="center"/>
          </w:tcPr>
          <w:p w:rsidR="000E6FBB" w:rsidRDefault="002B75C4">
            <w:pPr>
              <w:keepNext/>
              <w:keepLines/>
              <w:spacing w:after="0" w:line="240" w:lineRule="auto"/>
              <w:jc w:val="right"/>
            </w:pPr>
            <w:r>
              <w:rPr>
                <w:sz w:val="18"/>
              </w:rPr>
              <w:t>151,2</w:t>
            </w:r>
          </w:p>
        </w:tc>
      </w:tr>
    </w:tbl>
    <w:p w:rsidR="000E6FBB" w:rsidRDefault="000E6FBB">
      <w:pPr>
        <w:spacing w:after="0"/>
      </w:pPr>
    </w:p>
    <w:p w:rsidR="000E6FBB" w:rsidRDefault="002B75C4">
      <w:r>
        <w:t xml:space="preserve">Prihodi </w:t>
      </w:r>
      <w:proofErr w:type="gramStart"/>
      <w:r>
        <w:t>od</w:t>
      </w:r>
      <w:proofErr w:type="gramEnd"/>
      <w:r>
        <w:t xml:space="preserve"> pruženih usluga i prihodi od donacija (šifra 66) uvećani su za 51% u odnosu na prethodno razdoblje. Smanjenje prihoda </w:t>
      </w:r>
      <w:proofErr w:type="gramStart"/>
      <w:r>
        <w:t>od</w:t>
      </w:r>
      <w:proofErr w:type="gramEnd"/>
      <w:r>
        <w:t xml:space="preserve"> pruženih usluga za 26% u odnosu na isto razdoblje lani (šifra 661) pripisujemo oskudnijoj suradnji s gospodarskim subjektima</w:t>
      </w:r>
      <w:r>
        <w:t>. Povećanje donacija od pravnih i fizičkih osoba izvan općeg proračuna u iznosu 209.994,31 eur (šifra 663) za 447% u odnosu na isto razdoblje lani odnosi se najvećim dijelom na ugovorene EU projekte s trgovačkim društvima ili udrugama, koja sredstva je Fak</w:t>
      </w:r>
      <w:r>
        <w:t>ultet ostvarivao prijenosom od subjekata izvan općeg proračuna, kao partner na projektima: Interreg BEYOND projekt, Istarska regionalna energetska agencija; SPIN HEYGUEST ISLAND projekt, INTIS d.o.o. Zagreb; SPIN SMART-HOTEL 360 projekt, Adria-electronic d</w:t>
      </w:r>
      <w:r>
        <w:t>.o.o. Rijeka; SPIN PBMSense projekt, Popravak brodskih motora d.o.o. (PBM d.o.o.); SPIN EcoCruise9 projekt, Marservis d.o.o.; projekt NARASTEM, Udruga APOLD, Rijeka.</w:t>
      </w:r>
    </w:p>
    <w:p w:rsidR="000E6FBB" w:rsidRDefault="000E6FBB"/>
    <w:p w:rsidR="000E6FBB" w:rsidRDefault="002B75C4">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67</w:t>
            </w:r>
          </w:p>
        </w:tc>
        <w:tc>
          <w:tcPr>
            <w:tcW w:w="3180" w:type="dxa"/>
            <w:tcMar>
              <w:top w:w="0" w:type="dxa"/>
              <w:bottom w:w="0" w:type="dxa"/>
            </w:tcMar>
            <w:vAlign w:val="center"/>
          </w:tcPr>
          <w:p w:rsidR="000E6FBB" w:rsidRDefault="002B75C4">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0E6FBB" w:rsidRDefault="002B75C4">
            <w:pPr>
              <w:keepNext/>
              <w:keepLines/>
              <w:spacing w:after="0" w:line="240" w:lineRule="auto"/>
            </w:pPr>
            <w:r>
              <w:rPr>
                <w:sz w:val="18"/>
              </w:rPr>
              <w:t>67</w:t>
            </w:r>
          </w:p>
        </w:tc>
        <w:tc>
          <w:tcPr>
            <w:tcW w:w="1860" w:type="dxa"/>
            <w:tcMar>
              <w:top w:w="0" w:type="dxa"/>
              <w:bottom w:w="0" w:type="dxa"/>
            </w:tcMar>
            <w:vAlign w:val="center"/>
          </w:tcPr>
          <w:p w:rsidR="000E6FBB" w:rsidRDefault="002B75C4">
            <w:pPr>
              <w:keepNext/>
              <w:keepLines/>
              <w:spacing w:after="0" w:line="240" w:lineRule="auto"/>
              <w:jc w:val="right"/>
            </w:pPr>
            <w:r>
              <w:rPr>
                <w:sz w:val="18"/>
              </w:rPr>
              <w:t>7.413.299,91</w:t>
            </w:r>
          </w:p>
        </w:tc>
        <w:tc>
          <w:tcPr>
            <w:tcW w:w="1860" w:type="dxa"/>
            <w:tcMar>
              <w:top w:w="0" w:type="dxa"/>
              <w:bottom w:w="0" w:type="dxa"/>
            </w:tcMar>
            <w:vAlign w:val="center"/>
          </w:tcPr>
          <w:p w:rsidR="000E6FBB" w:rsidRDefault="002B75C4">
            <w:pPr>
              <w:keepNext/>
              <w:keepLines/>
              <w:spacing w:after="0" w:line="240" w:lineRule="auto"/>
              <w:jc w:val="right"/>
            </w:pPr>
            <w:r>
              <w:rPr>
                <w:sz w:val="18"/>
              </w:rPr>
              <w:t>8.821.389,25</w:t>
            </w:r>
          </w:p>
        </w:tc>
        <w:tc>
          <w:tcPr>
            <w:tcW w:w="700" w:type="dxa"/>
            <w:tcMar>
              <w:top w:w="0" w:type="dxa"/>
              <w:bottom w:w="0" w:type="dxa"/>
            </w:tcMar>
            <w:vAlign w:val="center"/>
          </w:tcPr>
          <w:p w:rsidR="000E6FBB" w:rsidRDefault="002B75C4">
            <w:pPr>
              <w:keepNext/>
              <w:keepLines/>
              <w:spacing w:after="0" w:line="240" w:lineRule="auto"/>
              <w:jc w:val="right"/>
            </w:pPr>
            <w:r>
              <w:rPr>
                <w:sz w:val="18"/>
              </w:rPr>
              <w:t>119,0</w:t>
            </w:r>
          </w:p>
        </w:tc>
      </w:tr>
    </w:tbl>
    <w:p w:rsidR="000E6FBB" w:rsidRDefault="000E6FBB">
      <w:pPr>
        <w:spacing w:after="0"/>
      </w:pPr>
    </w:p>
    <w:p w:rsidR="000E6FBB" w:rsidRDefault="002B75C4">
      <w:r>
        <w:t>Prihodi iz nadležnog proračuna (šifra 67) u iznosu 8.821.389</w:t>
      </w:r>
      <w:proofErr w:type="gramStart"/>
      <w:r>
        <w:t>,25</w:t>
      </w:r>
      <w:proofErr w:type="gramEnd"/>
      <w:r>
        <w:t xml:space="preserve"> eur, veći su za 19% u odnosu na prethodno razdoblje. Isti prihodi obuhvaćaju prihode za plaće zaposlenika i prijevoz </w:t>
      </w:r>
      <w:proofErr w:type="gramStart"/>
      <w:r>
        <w:t>na</w:t>
      </w:r>
      <w:proofErr w:type="gramEnd"/>
      <w:r>
        <w:t xml:space="preserve"> posao i s posla, materijalna prava zaposlenika (jubilarne nagrade, prigo</w:t>
      </w:r>
      <w:r>
        <w:t>dne nagrade, otpremnine i pomoći), sistematske preglede zaposlenika, naknade zbog nezapošljavanja osoba s invaliditetom, financiranje nastavne i znanstvene djelatnosti. Prihodi su uvećani zbog povećanja broja zaposlenih, kao i zbog primjene nove Uredbe o n</w:t>
      </w:r>
      <w:r>
        <w:t xml:space="preserve">azivima radnih mjesta, uvjetima za raspored i koeficijentima za obračun plaće u javnim službama NN 22/24 i Uredbe o načinu primjene standardnih mjerila u postupku vrednovanja i klasifikacije radnih mjesta u državnoj službi i javnim službama NN 22/24, </w:t>
      </w:r>
      <w:proofErr w:type="gramStart"/>
      <w:r>
        <w:t>od</w:t>
      </w:r>
      <w:proofErr w:type="gramEnd"/>
      <w:r>
        <w:t xml:space="preserve"> 26</w:t>
      </w:r>
      <w:r>
        <w:t>.02.2024. Na ovoj poziciji evidentirani su i prihodi za UniRi institucionalne istraživačke projekte, prihodi za projekt “Nova generacija višejezgrenih digitalnih sustava upravljanja za nisko i srednjenaponske elektoničke energetske pretvarače NPOO.C3.2.R3-</w:t>
      </w:r>
      <w:r>
        <w:t>I1.02.0032”, Mehanizam za oporavak i otpornost, Ministarstvo znanosti, obrazovanja i mladih, kao i povrat troškova izrade, tiska i opreme doktorske disertacije.</w:t>
      </w:r>
    </w:p>
    <w:p w:rsidR="000E6FBB" w:rsidRDefault="002B75C4">
      <w:r>
        <w:t>Uzevši u obzir relativno niski stupanj vlastitog financiranja, Fakultet ovisi o financiranju iz</w:t>
      </w:r>
      <w:r>
        <w:t xml:space="preserve"> Državnog proračuna Republike Hrvatske, posebice u dijelu financiranja redovne djelatnosti i programskog financiranja javnih visokih učilišta. Prema dobivenim ukupnim limitima za izvor 11 </w:t>
      </w:r>
      <w:proofErr w:type="gramStart"/>
      <w:r>
        <w:t>od</w:t>
      </w:r>
      <w:proofErr w:type="gramEnd"/>
      <w:r>
        <w:t xml:space="preserve"> Ministarstva znanosti, obrazovanja i mladih, te pojedinačnih limi</w:t>
      </w:r>
      <w:r>
        <w:t xml:space="preserve">ta za sastavnice Sveučilišta u Rijeci, donesene su i usvojene 19.12.2025. </w:t>
      </w:r>
      <w:proofErr w:type="gramStart"/>
      <w:r>
        <w:t>usklađene</w:t>
      </w:r>
      <w:proofErr w:type="gramEnd"/>
      <w:r>
        <w:t xml:space="preserve"> Izmjene i dopune (rebalans) financijskog plana Fakulteta za 2025. </w:t>
      </w:r>
      <w:proofErr w:type="gramStart"/>
      <w:r>
        <w:t>godinu</w:t>
      </w:r>
      <w:proofErr w:type="gramEnd"/>
      <w:r>
        <w:t xml:space="preserve"> s državnim proračunom. Financiranje redovne djelatnosti iz Državnog proračuna RH nije odstupalo </w:t>
      </w:r>
      <w:proofErr w:type="gramStart"/>
      <w:r>
        <w:t>od</w:t>
      </w:r>
      <w:proofErr w:type="gramEnd"/>
      <w:r>
        <w:t xml:space="preserve"> </w:t>
      </w:r>
      <w:r>
        <w:t xml:space="preserve">postojećih financijskih planova, dok je kod programskog financiranja javnih visokih učilišta došlo do znatno manje uplate za financiranje materijalnih troškova nastavne djelatnosti, nego što je usvojeno rebalansom financijskog plana za 2025. </w:t>
      </w:r>
      <w:proofErr w:type="gramStart"/>
      <w:r>
        <w:t>godinu</w:t>
      </w:r>
      <w:proofErr w:type="gramEnd"/>
      <w:r>
        <w:t>. </w:t>
      </w:r>
    </w:p>
    <w:p w:rsidR="000E6FBB" w:rsidRDefault="002B75C4">
      <w:r>
        <w:t> </w:t>
      </w:r>
    </w:p>
    <w:p w:rsidR="000E6FBB" w:rsidRDefault="000E6FBB"/>
    <w:p w:rsidR="000E6FBB" w:rsidRDefault="002B75C4">
      <w:pPr>
        <w:keepNext/>
        <w:spacing w:line="240" w:lineRule="auto"/>
        <w:jc w:val="center"/>
      </w:pPr>
      <w:r>
        <w:rPr>
          <w:sz w:val="28"/>
        </w:rPr>
        <w:lastRenderedPageBreak/>
        <w:t>Bi</w:t>
      </w:r>
      <w:r>
        <w:rPr>
          <w:sz w:val="28"/>
        </w:rPr>
        <w:t>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w:t>
            </w:r>
          </w:p>
        </w:tc>
        <w:tc>
          <w:tcPr>
            <w:tcW w:w="3180" w:type="dxa"/>
            <w:tcMar>
              <w:top w:w="0" w:type="dxa"/>
              <w:bottom w:w="0" w:type="dxa"/>
            </w:tcMar>
            <w:vAlign w:val="center"/>
          </w:tcPr>
          <w:p w:rsidR="000E6FBB" w:rsidRDefault="002B75C4">
            <w:pPr>
              <w:keepNext/>
              <w:keepLines/>
              <w:spacing w:after="0" w:line="240" w:lineRule="auto"/>
            </w:pPr>
            <w:r>
              <w:rPr>
                <w:sz w:val="18"/>
              </w:rPr>
              <w:t>RASHODI POSLOVANJA (šifre 31+32+34+35+36+37+38)</w:t>
            </w:r>
          </w:p>
        </w:tc>
        <w:tc>
          <w:tcPr>
            <w:tcW w:w="700" w:type="dxa"/>
            <w:tcMar>
              <w:top w:w="0" w:type="dxa"/>
              <w:bottom w:w="0" w:type="dxa"/>
            </w:tcMar>
            <w:vAlign w:val="center"/>
          </w:tcPr>
          <w:p w:rsidR="000E6FBB" w:rsidRDefault="002B75C4">
            <w:pPr>
              <w:keepNext/>
              <w:keepLines/>
              <w:spacing w:after="0" w:line="240" w:lineRule="auto"/>
            </w:pPr>
            <w:r>
              <w:rPr>
                <w:sz w:val="18"/>
              </w:rPr>
              <w:t>3</w:t>
            </w:r>
          </w:p>
        </w:tc>
        <w:tc>
          <w:tcPr>
            <w:tcW w:w="1860" w:type="dxa"/>
            <w:tcMar>
              <w:top w:w="0" w:type="dxa"/>
              <w:bottom w:w="0" w:type="dxa"/>
            </w:tcMar>
            <w:vAlign w:val="center"/>
          </w:tcPr>
          <w:p w:rsidR="000E6FBB" w:rsidRDefault="002B75C4">
            <w:pPr>
              <w:keepNext/>
              <w:keepLines/>
              <w:spacing w:after="0" w:line="240" w:lineRule="auto"/>
              <w:jc w:val="right"/>
            </w:pPr>
            <w:r>
              <w:rPr>
                <w:sz w:val="18"/>
              </w:rPr>
              <w:t>9.571.837,89</w:t>
            </w:r>
          </w:p>
        </w:tc>
        <w:tc>
          <w:tcPr>
            <w:tcW w:w="1860" w:type="dxa"/>
            <w:tcMar>
              <w:top w:w="0" w:type="dxa"/>
              <w:bottom w:w="0" w:type="dxa"/>
            </w:tcMar>
            <w:vAlign w:val="center"/>
          </w:tcPr>
          <w:p w:rsidR="000E6FBB" w:rsidRDefault="002B75C4">
            <w:pPr>
              <w:keepNext/>
              <w:keepLines/>
              <w:spacing w:after="0" w:line="240" w:lineRule="auto"/>
              <w:jc w:val="right"/>
            </w:pPr>
            <w:r>
              <w:rPr>
                <w:sz w:val="18"/>
              </w:rPr>
              <w:t>11.232.681,89</w:t>
            </w:r>
          </w:p>
        </w:tc>
        <w:tc>
          <w:tcPr>
            <w:tcW w:w="700" w:type="dxa"/>
            <w:tcMar>
              <w:top w:w="0" w:type="dxa"/>
              <w:bottom w:w="0" w:type="dxa"/>
            </w:tcMar>
            <w:vAlign w:val="center"/>
          </w:tcPr>
          <w:p w:rsidR="000E6FBB" w:rsidRDefault="002B75C4">
            <w:pPr>
              <w:keepNext/>
              <w:keepLines/>
              <w:spacing w:after="0" w:line="240" w:lineRule="auto"/>
              <w:jc w:val="right"/>
            </w:pPr>
            <w:r>
              <w:rPr>
                <w:sz w:val="18"/>
              </w:rPr>
              <w:t>117,4</w:t>
            </w:r>
          </w:p>
        </w:tc>
      </w:tr>
    </w:tbl>
    <w:p w:rsidR="000E6FBB" w:rsidRDefault="000E6FBB">
      <w:pPr>
        <w:spacing w:after="0"/>
      </w:pPr>
    </w:p>
    <w:p w:rsidR="000E6FBB" w:rsidRDefault="002B75C4">
      <w:r>
        <w:t>Rashodi poslovanja (šifra 3) iznosili su 11.232.681</w:t>
      </w:r>
      <w:proofErr w:type="gramStart"/>
      <w:r>
        <w:t>,89</w:t>
      </w:r>
      <w:proofErr w:type="gramEnd"/>
      <w:r>
        <w:t xml:space="preserve"> eur, što je 17% više u odnosu na prethodnu godinu i 2% više u odnosu na financijski plan. U ukupnim rashodima poslovanja najveći udio od 84% imaju rashodi za zaposlene 9.432.714,24 eur (šifra 31), zati</w:t>
      </w:r>
      <w:r>
        <w:t>m 14% materijalni rashodi 1.609.968,99 eur (šifra 32), 1% pomoći dane u inozemstvo i unutar općeg proračuna 121.969,11 eur (šifra 36), 1% naknade građanima i kućanstvima 48.000,00 eur (šifra 37), dok udio manji od 1% imaju financijski rashodi 10.139,81 eur</w:t>
      </w:r>
      <w:r>
        <w:t xml:space="preserve"> (šifra 34), subvencije 9.389,74 eur (šifra 35) i ostali rashodi 500,00 eur (šifra 38).</w:t>
      </w:r>
    </w:p>
    <w:p w:rsidR="000E6FBB" w:rsidRDefault="000E6FBB"/>
    <w:p w:rsidR="000E6FBB" w:rsidRDefault="002B75C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311</w:t>
            </w:r>
          </w:p>
        </w:tc>
        <w:tc>
          <w:tcPr>
            <w:tcW w:w="3180" w:type="dxa"/>
            <w:tcMar>
              <w:top w:w="0" w:type="dxa"/>
              <w:bottom w:w="0" w:type="dxa"/>
            </w:tcMar>
            <w:vAlign w:val="center"/>
          </w:tcPr>
          <w:p w:rsidR="000E6FBB" w:rsidRDefault="002B75C4">
            <w:pPr>
              <w:keepNext/>
              <w:keepLines/>
              <w:spacing w:after="0" w:line="240" w:lineRule="auto"/>
            </w:pPr>
            <w:r>
              <w:rPr>
                <w:sz w:val="18"/>
              </w:rPr>
              <w:t>Plaće (bruto) (šifre 3111 do 3114)</w:t>
            </w:r>
          </w:p>
        </w:tc>
        <w:tc>
          <w:tcPr>
            <w:tcW w:w="700" w:type="dxa"/>
            <w:tcMar>
              <w:top w:w="0" w:type="dxa"/>
              <w:bottom w:w="0" w:type="dxa"/>
            </w:tcMar>
            <w:vAlign w:val="center"/>
          </w:tcPr>
          <w:p w:rsidR="000E6FBB" w:rsidRDefault="002B75C4">
            <w:pPr>
              <w:keepNext/>
              <w:keepLines/>
              <w:spacing w:after="0" w:line="240" w:lineRule="auto"/>
            </w:pPr>
            <w:r>
              <w:rPr>
                <w:sz w:val="18"/>
              </w:rPr>
              <w:t>311</w:t>
            </w:r>
          </w:p>
        </w:tc>
        <w:tc>
          <w:tcPr>
            <w:tcW w:w="1860" w:type="dxa"/>
            <w:tcMar>
              <w:top w:w="0" w:type="dxa"/>
              <w:bottom w:w="0" w:type="dxa"/>
            </w:tcMar>
            <w:vAlign w:val="center"/>
          </w:tcPr>
          <w:p w:rsidR="000E6FBB" w:rsidRDefault="002B75C4">
            <w:pPr>
              <w:keepNext/>
              <w:keepLines/>
              <w:spacing w:after="0" w:line="240" w:lineRule="auto"/>
              <w:jc w:val="right"/>
            </w:pPr>
            <w:r>
              <w:rPr>
                <w:sz w:val="18"/>
              </w:rPr>
              <w:t>6.303.236,68</w:t>
            </w:r>
          </w:p>
        </w:tc>
        <w:tc>
          <w:tcPr>
            <w:tcW w:w="1860" w:type="dxa"/>
            <w:tcMar>
              <w:top w:w="0" w:type="dxa"/>
              <w:bottom w:w="0" w:type="dxa"/>
            </w:tcMar>
            <w:vAlign w:val="center"/>
          </w:tcPr>
          <w:p w:rsidR="000E6FBB" w:rsidRDefault="002B75C4">
            <w:pPr>
              <w:keepNext/>
              <w:keepLines/>
              <w:spacing w:after="0" w:line="240" w:lineRule="auto"/>
              <w:jc w:val="right"/>
            </w:pPr>
            <w:r>
              <w:rPr>
                <w:sz w:val="18"/>
              </w:rPr>
              <w:t>7.880.314,77</w:t>
            </w:r>
          </w:p>
        </w:tc>
        <w:tc>
          <w:tcPr>
            <w:tcW w:w="700" w:type="dxa"/>
            <w:tcMar>
              <w:top w:w="0" w:type="dxa"/>
              <w:bottom w:w="0" w:type="dxa"/>
            </w:tcMar>
            <w:vAlign w:val="center"/>
          </w:tcPr>
          <w:p w:rsidR="000E6FBB" w:rsidRDefault="002B75C4">
            <w:pPr>
              <w:keepNext/>
              <w:keepLines/>
              <w:spacing w:after="0" w:line="240" w:lineRule="auto"/>
              <w:jc w:val="right"/>
            </w:pPr>
            <w:r>
              <w:rPr>
                <w:sz w:val="18"/>
              </w:rPr>
              <w:t>125,0</w:t>
            </w:r>
          </w:p>
        </w:tc>
      </w:tr>
    </w:tbl>
    <w:p w:rsidR="000E6FBB" w:rsidRDefault="000E6FBB">
      <w:pPr>
        <w:spacing w:after="0"/>
      </w:pPr>
    </w:p>
    <w:p w:rsidR="000E6FBB" w:rsidRDefault="002B75C4">
      <w:r>
        <w:t xml:space="preserve">U strukturi rashoda odstupanja bilježimo kod rashoda za plaće, uvećanje za 25% (šifra 311) zbog povećanja broja zaposlenih, kao i zbog primjene nove Uredbe o nazivima radnih mjesta, uvjetima za raspored i koeficijentima za obračun plaće u javnim službama. </w:t>
      </w:r>
      <w:r>
        <w:t xml:space="preserve">Veliko uvećanje rashoda za plaće nastalo je zbog ukidanja podskupine 193 - Kontinuirani rashodi budućih razdoblja s danom 1. </w:t>
      </w:r>
      <w:proofErr w:type="gramStart"/>
      <w:r>
        <w:t>siječnja</w:t>
      </w:r>
      <w:proofErr w:type="gramEnd"/>
      <w:r>
        <w:t xml:space="preserve"> 2025. </w:t>
      </w:r>
      <w:proofErr w:type="gramStart"/>
      <w:r>
        <w:t>godine</w:t>
      </w:r>
      <w:proofErr w:type="gramEnd"/>
      <w:r>
        <w:t xml:space="preserve">. Učinak čl. 233. </w:t>
      </w:r>
      <w:proofErr w:type="gramStart"/>
      <w:r>
        <w:t>novog</w:t>
      </w:r>
      <w:proofErr w:type="gramEnd"/>
      <w:r>
        <w:t xml:space="preserve"> Pravilnika o izmjenama i dopunama Pravilnika o proračunskom računovodstvu i računskom </w:t>
      </w:r>
      <w:r>
        <w:t xml:space="preserve">planu rezultirao je potrebom evidentiranja  13. </w:t>
      </w:r>
      <w:proofErr w:type="gramStart"/>
      <w:r>
        <w:t>rashoda</w:t>
      </w:r>
      <w:proofErr w:type="gramEnd"/>
      <w:r>
        <w:t xml:space="preserve"> za plaće u 2025. </w:t>
      </w:r>
      <w:proofErr w:type="gramStart"/>
      <w:r>
        <w:t>godini</w:t>
      </w:r>
      <w:proofErr w:type="gramEnd"/>
      <w:r>
        <w:t xml:space="preserve">. Dakle, rashodi za plaće za 12. </w:t>
      </w:r>
      <w:proofErr w:type="gramStart"/>
      <w:r>
        <w:t>mjesec</w:t>
      </w:r>
      <w:proofErr w:type="gramEnd"/>
      <w:r>
        <w:t xml:space="preserve"> 2024. </w:t>
      </w:r>
      <w:proofErr w:type="gramStart"/>
      <w:r>
        <w:t>evidentirane</w:t>
      </w:r>
      <w:proofErr w:type="gramEnd"/>
      <w:r>
        <w:t xml:space="preserve"> zaduženjem odgovarajućih osnovnih računa podskupine 193 na 31.12.2024., u siječnju 2025. </w:t>
      </w:r>
      <w:proofErr w:type="gramStart"/>
      <w:r>
        <w:t>godine</w:t>
      </w:r>
      <w:proofErr w:type="gramEnd"/>
      <w:r>
        <w:t xml:space="preserve"> zatvaraju se na podsku</w:t>
      </w:r>
      <w:r>
        <w:t xml:space="preserve">pini 193 te terete odgovarajuće račune u razredu 3 - Rashodi poslovanja.  Time u 2025. </w:t>
      </w:r>
      <w:proofErr w:type="gramStart"/>
      <w:r>
        <w:t>godini</w:t>
      </w:r>
      <w:proofErr w:type="gramEnd"/>
      <w:r>
        <w:t xml:space="preserve"> evidentiramo rashode 13 mjesečnih plaća, odnosno jedan rashod više, s obzirom na to da će rashodi u 2025. </w:t>
      </w:r>
      <w:proofErr w:type="gramStart"/>
      <w:r>
        <w:t>uključivati</w:t>
      </w:r>
      <w:proofErr w:type="gramEnd"/>
      <w:r>
        <w:t xml:space="preserve"> i rashode za 12. </w:t>
      </w:r>
      <w:proofErr w:type="gramStart"/>
      <w:r>
        <w:t>mjesec</w:t>
      </w:r>
      <w:proofErr w:type="gramEnd"/>
      <w:r>
        <w:t xml:space="preserve"> 2024. </w:t>
      </w:r>
      <w:proofErr w:type="gramStart"/>
      <w:r>
        <w:t>uz</w:t>
      </w:r>
      <w:proofErr w:type="gramEnd"/>
      <w:r>
        <w:t xml:space="preserve"> 12 rashoda </w:t>
      </w:r>
      <w:r>
        <w:t xml:space="preserve">za plaće u 2025. </w:t>
      </w:r>
      <w:proofErr w:type="gramStart"/>
      <w:r>
        <w:t>godini</w:t>
      </w:r>
      <w:proofErr w:type="gramEnd"/>
      <w:r>
        <w:t xml:space="preserve">. Na ovoj poziciji evidentiran je i trošak plaće po sudskoj presudi u bruto iznosu 21.517,41 </w:t>
      </w:r>
      <w:proofErr w:type="gramStart"/>
      <w:r>
        <w:t>eur</w:t>
      </w:r>
      <w:proofErr w:type="gramEnd"/>
      <w:r>
        <w:t>.</w:t>
      </w:r>
    </w:p>
    <w:p w:rsidR="000E6FBB" w:rsidRDefault="000E6FBB"/>
    <w:p w:rsidR="000E6FBB" w:rsidRDefault="002B75C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3111</w:t>
            </w:r>
          </w:p>
        </w:tc>
        <w:tc>
          <w:tcPr>
            <w:tcW w:w="3180" w:type="dxa"/>
            <w:tcMar>
              <w:top w:w="0" w:type="dxa"/>
              <w:bottom w:w="0" w:type="dxa"/>
            </w:tcMar>
            <w:vAlign w:val="center"/>
          </w:tcPr>
          <w:p w:rsidR="000E6FBB" w:rsidRDefault="002B75C4">
            <w:pPr>
              <w:keepNext/>
              <w:keepLines/>
              <w:spacing w:after="0" w:line="240" w:lineRule="auto"/>
            </w:pPr>
            <w:r>
              <w:rPr>
                <w:sz w:val="18"/>
              </w:rPr>
              <w:t>Plaće za redovan rad</w:t>
            </w:r>
          </w:p>
        </w:tc>
        <w:tc>
          <w:tcPr>
            <w:tcW w:w="700" w:type="dxa"/>
            <w:tcMar>
              <w:top w:w="0" w:type="dxa"/>
              <w:bottom w:w="0" w:type="dxa"/>
            </w:tcMar>
            <w:vAlign w:val="center"/>
          </w:tcPr>
          <w:p w:rsidR="000E6FBB" w:rsidRDefault="002B75C4">
            <w:pPr>
              <w:keepNext/>
              <w:keepLines/>
              <w:spacing w:after="0" w:line="240" w:lineRule="auto"/>
            </w:pPr>
            <w:r>
              <w:rPr>
                <w:sz w:val="18"/>
              </w:rPr>
              <w:t>3111</w:t>
            </w:r>
          </w:p>
        </w:tc>
        <w:tc>
          <w:tcPr>
            <w:tcW w:w="1860" w:type="dxa"/>
            <w:tcMar>
              <w:top w:w="0" w:type="dxa"/>
              <w:bottom w:w="0" w:type="dxa"/>
            </w:tcMar>
            <w:vAlign w:val="center"/>
          </w:tcPr>
          <w:p w:rsidR="000E6FBB" w:rsidRDefault="002B75C4">
            <w:pPr>
              <w:keepNext/>
              <w:keepLines/>
              <w:spacing w:after="0" w:line="240" w:lineRule="auto"/>
              <w:jc w:val="right"/>
            </w:pPr>
            <w:r>
              <w:rPr>
                <w:sz w:val="18"/>
              </w:rPr>
              <w:t>6.302.621,25</w:t>
            </w:r>
          </w:p>
        </w:tc>
        <w:tc>
          <w:tcPr>
            <w:tcW w:w="1860" w:type="dxa"/>
            <w:tcMar>
              <w:top w:w="0" w:type="dxa"/>
              <w:bottom w:w="0" w:type="dxa"/>
            </w:tcMar>
            <w:vAlign w:val="center"/>
          </w:tcPr>
          <w:p w:rsidR="000E6FBB" w:rsidRDefault="002B75C4">
            <w:pPr>
              <w:keepNext/>
              <w:keepLines/>
              <w:spacing w:after="0" w:line="240" w:lineRule="auto"/>
              <w:jc w:val="right"/>
            </w:pPr>
            <w:r>
              <w:rPr>
                <w:sz w:val="18"/>
              </w:rPr>
              <w:t>7.879.562,89</w:t>
            </w:r>
          </w:p>
        </w:tc>
        <w:tc>
          <w:tcPr>
            <w:tcW w:w="700" w:type="dxa"/>
            <w:tcMar>
              <w:top w:w="0" w:type="dxa"/>
              <w:bottom w:w="0" w:type="dxa"/>
            </w:tcMar>
            <w:vAlign w:val="center"/>
          </w:tcPr>
          <w:p w:rsidR="000E6FBB" w:rsidRDefault="002B75C4">
            <w:pPr>
              <w:keepNext/>
              <w:keepLines/>
              <w:spacing w:after="0" w:line="240" w:lineRule="auto"/>
              <w:jc w:val="right"/>
            </w:pPr>
            <w:r>
              <w:rPr>
                <w:sz w:val="18"/>
              </w:rPr>
              <w:t>125,0</w:t>
            </w:r>
          </w:p>
        </w:tc>
      </w:tr>
    </w:tbl>
    <w:p w:rsidR="000E6FBB" w:rsidRDefault="000E6FBB">
      <w:pPr>
        <w:spacing w:after="0"/>
      </w:pPr>
    </w:p>
    <w:p w:rsidR="000E6FBB" w:rsidRDefault="002B75C4">
      <w:r>
        <w:t>_</w:t>
      </w:r>
    </w:p>
    <w:p w:rsidR="000E6FBB" w:rsidRDefault="000E6FBB"/>
    <w:p w:rsidR="000E6FBB" w:rsidRDefault="002B75C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322</w:t>
            </w:r>
          </w:p>
        </w:tc>
        <w:tc>
          <w:tcPr>
            <w:tcW w:w="3180" w:type="dxa"/>
            <w:tcMar>
              <w:top w:w="0" w:type="dxa"/>
              <w:bottom w:w="0" w:type="dxa"/>
            </w:tcMar>
            <w:vAlign w:val="center"/>
          </w:tcPr>
          <w:p w:rsidR="000E6FBB" w:rsidRDefault="002B75C4">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0E6FBB" w:rsidRDefault="002B75C4">
            <w:pPr>
              <w:keepNext/>
              <w:keepLines/>
              <w:spacing w:after="0" w:line="240" w:lineRule="auto"/>
            </w:pPr>
            <w:r>
              <w:rPr>
                <w:sz w:val="18"/>
              </w:rPr>
              <w:t>322</w:t>
            </w:r>
          </w:p>
        </w:tc>
        <w:tc>
          <w:tcPr>
            <w:tcW w:w="1860" w:type="dxa"/>
            <w:tcMar>
              <w:top w:w="0" w:type="dxa"/>
              <w:bottom w:w="0" w:type="dxa"/>
            </w:tcMar>
            <w:vAlign w:val="center"/>
          </w:tcPr>
          <w:p w:rsidR="000E6FBB" w:rsidRDefault="002B75C4">
            <w:pPr>
              <w:keepNext/>
              <w:keepLines/>
              <w:spacing w:after="0" w:line="240" w:lineRule="auto"/>
              <w:jc w:val="right"/>
            </w:pPr>
            <w:r>
              <w:rPr>
                <w:sz w:val="18"/>
              </w:rPr>
              <w:t>257.670,23</w:t>
            </w:r>
          </w:p>
        </w:tc>
        <w:tc>
          <w:tcPr>
            <w:tcW w:w="1860" w:type="dxa"/>
            <w:tcMar>
              <w:top w:w="0" w:type="dxa"/>
              <w:bottom w:w="0" w:type="dxa"/>
            </w:tcMar>
            <w:vAlign w:val="center"/>
          </w:tcPr>
          <w:p w:rsidR="000E6FBB" w:rsidRDefault="002B75C4">
            <w:pPr>
              <w:keepNext/>
              <w:keepLines/>
              <w:spacing w:after="0" w:line="240" w:lineRule="auto"/>
              <w:jc w:val="right"/>
            </w:pPr>
            <w:r>
              <w:rPr>
                <w:sz w:val="18"/>
              </w:rPr>
              <w:t>299.567,41</w:t>
            </w:r>
          </w:p>
        </w:tc>
        <w:tc>
          <w:tcPr>
            <w:tcW w:w="700" w:type="dxa"/>
            <w:tcMar>
              <w:top w:w="0" w:type="dxa"/>
              <w:bottom w:w="0" w:type="dxa"/>
            </w:tcMar>
            <w:vAlign w:val="center"/>
          </w:tcPr>
          <w:p w:rsidR="000E6FBB" w:rsidRDefault="002B75C4">
            <w:pPr>
              <w:keepNext/>
              <w:keepLines/>
              <w:spacing w:after="0" w:line="240" w:lineRule="auto"/>
              <w:jc w:val="right"/>
            </w:pPr>
            <w:r>
              <w:rPr>
                <w:sz w:val="18"/>
              </w:rPr>
              <w:t>116,3</w:t>
            </w:r>
          </w:p>
        </w:tc>
      </w:tr>
    </w:tbl>
    <w:p w:rsidR="000E6FBB" w:rsidRDefault="000E6FBB">
      <w:pPr>
        <w:spacing w:after="0"/>
      </w:pPr>
    </w:p>
    <w:p w:rsidR="000E6FBB" w:rsidRDefault="002B75C4">
      <w:r>
        <w:t xml:space="preserve">Povećanje rashoda za materijal i energiju </w:t>
      </w:r>
      <w:proofErr w:type="gramStart"/>
      <w:r>
        <w:t>od</w:t>
      </w:r>
      <w:proofErr w:type="gramEnd"/>
      <w:r>
        <w:t xml:space="preserve"> 16% u odnosu na prethodno izvještajno razdoblje (šifra 322) u najvećem dijelu se odnosi na povećanje troškova za materijal i sirovine, povećanje troškova energije. </w:t>
      </w:r>
    </w:p>
    <w:p w:rsidR="000E6FBB" w:rsidRDefault="000E6FBB"/>
    <w:p w:rsidR="000E6FBB" w:rsidRDefault="002B75C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3232</w:t>
            </w:r>
          </w:p>
        </w:tc>
        <w:tc>
          <w:tcPr>
            <w:tcW w:w="3180" w:type="dxa"/>
            <w:tcMar>
              <w:top w:w="0" w:type="dxa"/>
              <w:bottom w:w="0" w:type="dxa"/>
            </w:tcMar>
            <w:vAlign w:val="center"/>
          </w:tcPr>
          <w:p w:rsidR="000E6FBB" w:rsidRDefault="002B75C4">
            <w:pPr>
              <w:keepNext/>
              <w:keepLines/>
              <w:spacing w:after="0" w:line="240" w:lineRule="auto"/>
            </w:pPr>
            <w:r>
              <w:rPr>
                <w:sz w:val="18"/>
              </w:rPr>
              <w:t>Usluge tekućeg i investicijskog održavanja</w:t>
            </w:r>
          </w:p>
        </w:tc>
        <w:tc>
          <w:tcPr>
            <w:tcW w:w="700" w:type="dxa"/>
            <w:tcMar>
              <w:top w:w="0" w:type="dxa"/>
              <w:bottom w:w="0" w:type="dxa"/>
            </w:tcMar>
            <w:vAlign w:val="center"/>
          </w:tcPr>
          <w:p w:rsidR="000E6FBB" w:rsidRDefault="002B75C4">
            <w:pPr>
              <w:keepNext/>
              <w:keepLines/>
              <w:spacing w:after="0" w:line="240" w:lineRule="auto"/>
            </w:pPr>
            <w:r>
              <w:rPr>
                <w:sz w:val="18"/>
              </w:rPr>
              <w:t>3232</w:t>
            </w:r>
          </w:p>
        </w:tc>
        <w:tc>
          <w:tcPr>
            <w:tcW w:w="1860" w:type="dxa"/>
            <w:tcMar>
              <w:top w:w="0" w:type="dxa"/>
              <w:bottom w:w="0" w:type="dxa"/>
            </w:tcMar>
            <w:vAlign w:val="center"/>
          </w:tcPr>
          <w:p w:rsidR="000E6FBB" w:rsidRDefault="002B75C4">
            <w:pPr>
              <w:keepNext/>
              <w:keepLines/>
              <w:spacing w:after="0" w:line="240" w:lineRule="auto"/>
              <w:jc w:val="right"/>
            </w:pPr>
            <w:r>
              <w:rPr>
                <w:sz w:val="18"/>
              </w:rPr>
              <w:t>158.062,05</w:t>
            </w:r>
          </w:p>
        </w:tc>
        <w:tc>
          <w:tcPr>
            <w:tcW w:w="1860" w:type="dxa"/>
            <w:tcMar>
              <w:top w:w="0" w:type="dxa"/>
              <w:bottom w:w="0" w:type="dxa"/>
            </w:tcMar>
            <w:vAlign w:val="center"/>
          </w:tcPr>
          <w:p w:rsidR="000E6FBB" w:rsidRDefault="002B75C4">
            <w:pPr>
              <w:keepNext/>
              <w:keepLines/>
              <w:spacing w:after="0" w:line="240" w:lineRule="auto"/>
              <w:jc w:val="right"/>
            </w:pPr>
            <w:r>
              <w:rPr>
                <w:sz w:val="18"/>
              </w:rPr>
              <w:t>67.804,49</w:t>
            </w:r>
          </w:p>
        </w:tc>
        <w:tc>
          <w:tcPr>
            <w:tcW w:w="700" w:type="dxa"/>
            <w:tcMar>
              <w:top w:w="0" w:type="dxa"/>
              <w:bottom w:w="0" w:type="dxa"/>
            </w:tcMar>
            <w:vAlign w:val="center"/>
          </w:tcPr>
          <w:p w:rsidR="000E6FBB" w:rsidRDefault="002B75C4">
            <w:pPr>
              <w:keepNext/>
              <w:keepLines/>
              <w:spacing w:after="0" w:line="240" w:lineRule="auto"/>
              <w:jc w:val="right"/>
            </w:pPr>
            <w:r>
              <w:rPr>
                <w:sz w:val="18"/>
              </w:rPr>
              <w:t>42,9</w:t>
            </w:r>
          </w:p>
        </w:tc>
      </w:tr>
    </w:tbl>
    <w:p w:rsidR="000E6FBB" w:rsidRDefault="000E6FBB">
      <w:pPr>
        <w:spacing w:after="0"/>
      </w:pPr>
    </w:p>
    <w:p w:rsidR="000E6FBB" w:rsidRDefault="002B75C4">
      <w:r>
        <w:lastRenderedPageBreak/>
        <w:t>U tekućem izvještajnom razdoblju ostvareni su manji rashodi za usluge tekućeg i investicijskog održavanja zgrade i opreme Fakulteta za 57% (šifra 3232), jer se u prethodnim godinama ulagalo u elektroinstalacijske radove u marendariju i održavanje laborator</w:t>
      </w:r>
      <w:r>
        <w:t>ija, dok je u tekućoj godini održavanje pojedinih učionica i kabineta.</w:t>
      </w:r>
    </w:p>
    <w:p w:rsidR="000E6FBB" w:rsidRDefault="000E6FBB"/>
    <w:p w:rsidR="000E6FBB" w:rsidRDefault="002B75C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3233</w:t>
            </w:r>
          </w:p>
        </w:tc>
        <w:tc>
          <w:tcPr>
            <w:tcW w:w="3180" w:type="dxa"/>
            <w:tcMar>
              <w:top w:w="0" w:type="dxa"/>
              <w:bottom w:w="0" w:type="dxa"/>
            </w:tcMar>
            <w:vAlign w:val="center"/>
          </w:tcPr>
          <w:p w:rsidR="000E6FBB" w:rsidRDefault="002B75C4">
            <w:pPr>
              <w:keepNext/>
              <w:keepLines/>
              <w:spacing w:after="0" w:line="240" w:lineRule="auto"/>
            </w:pPr>
            <w:r>
              <w:rPr>
                <w:sz w:val="18"/>
              </w:rPr>
              <w:t xml:space="preserve">Usluge </w:t>
            </w:r>
            <w:r>
              <w:rPr>
                <w:sz w:val="18"/>
              </w:rPr>
              <w:t>promidžbe i informiranja</w:t>
            </w:r>
          </w:p>
        </w:tc>
        <w:tc>
          <w:tcPr>
            <w:tcW w:w="700" w:type="dxa"/>
            <w:tcMar>
              <w:top w:w="0" w:type="dxa"/>
              <w:bottom w:w="0" w:type="dxa"/>
            </w:tcMar>
            <w:vAlign w:val="center"/>
          </w:tcPr>
          <w:p w:rsidR="000E6FBB" w:rsidRDefault="002B75C4">
            <w:pPr>
              <w:keepNext/>
              <w:keepLines/>
              <w:spacing w:after="0" w:line="240" w:lineRule="auto"/>
            </w:pPr>
            <w:r>
              <w:rPr>
                <w:sz w:val="18"/>
              </w:rPr>
              <w:t>3233</w:t>
            </w:r>
          </w:p>
        </w:tc>
        <w:tc>
          <w:tcPr>
            <w:tcW w:w="1860" w:type="dxa"/>
            <w:tcMar>
              <w:top w:w="0" w:type="dxa"/>
              <w:bottom w:w="0" w:type="dxa"/>
            </w:tcMar>
            <w:vAlign w:val="center"/>
          </w:tcPr>
          <w:p w:rsidR="000E6FBB" w:rsidRDefault="002B75C4">
            <w:pPr>
              <w:keepNext/>
              <w:keepLines/>
              <w:spacing w:after="0" w:line="240" w:lineRule="auto"/>
              <w:jc w:val="right"/>
            </w:pPr>
            <w:r>
              <w:rPr>
                <w:sz w:val="18"/>
              </w:rPr>
              <w:t>68.934,78</w:t>
            </w:r>
          </w:p>
        </w:tc>
        <w:tc>
          <w:tcPr>
            <w:tcW w:w="1860" w:type="dxa"/>
            <w:tcMar>
              <w:top w:w="0" w:type="dxa"/>
              <w:bottom w:w="0" w:type="dxa"/>
            </w:tcMar>
            <w:vAlign w:val="center"/>
          </w:tcPr>
          <w:p w:rsidR="000E6FBB" w:rsidRDefault="002B75C4">
            <w:pPr>
              <w:keepNext/>
              <w:keepLines/>
              <w:spacing w:after="0" w:line="240" w:lineRule="auto"/>
              <w:jc w:val="right"/>
            </w:pPr>
            <w:r>
              <w:rPr>
                <w:sz w:val="18"/>
              </w:rPr>
              <w:t>85.540,81</w:t>
            </w:r>
          </w:p>
        </w:tc>
        <w:tc>
          <w:tcPr>
            <w:tcW w:w="700" w:type="dxa"/>
            <w:tcMar>
              <w:top w:w="0" w:type="dxa"/>
              <w:bottom w:w="0" w:type="dxa"/>
            </w:tcMar>
            <w:vAlign w:val="center"/>
          </w:tcPr>
          <w:p w:rsidR="000E6FBB" w:rsidRDefault="002B75C4">
            <w:pPr>
              <w:keepNext/>
              <w:keepLines/>
              <w:spacing w:after="0" w:line="240" w:lineRule="auto"/>
              <w:jc w:val="right"/>
            </w:pPr>
            <w:r>
              <w:rPr>
                <w:sz w:val="18"/>
              </w:rPr>
              <w:t>124,1</w:t>
            </w:r>
          </w:p>
        </w:tc>
      </w:tr>
    </w:tbl>
    <w:p w:rsidR="000E6FBB" w:rsidRDefault="000E6FBB">
      <w:pPr>
        <w:spacing w:after="0"/>
      </w:pPr>
    </w:p>
    <w:p w:rsidR="000E6FBB" w:rsidRDefault="002B75C4">
      <w:r>
        <w:t>Šifra 3233 pokazuje veće troškove za usluge promidžbe i informiranja zbog više objavljenih znanstvenih radova i digitalnog oglašavanja. </w:t>
      </w:r>
    </w:p>
    <w:p w:rsidR="000E6FBB" w:rsidRDefault="000E6FBB"/>
    <w:p w:rsidR="000E6FBB" w:rsidRDefault="002B75C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324</w:t>
            </w:r>
          </w:p>
        </w:tc>
        <w:tc>
          <w:tcPr>
            <w:tcW w:w="3180" w:type="dxa"/>
            <w:tcMar>
              <w:top w:w="0" w:type="dxa"/>
              <w:bottom w:w="0" w:type="dxa"/>
            </w:tcMar>
            <w:vAlign w:val="center"/>
          </w:tcPr>
          <w:p w:rsidR="000E6FBB" w:rsidRDefault="002B75C4">
            <w:pPr>
              <w:keepNext/>
              <w:keepLines/>
              <w:spacing w:after="0" w:line="240" w:lineRule="auto"/>
            </w:pPr>
            <w:r>
              <w:rPr>
                <w:sz w:val="18"/>
              </w:rPr>
              <w:t>Naknade troškova osobama izvan radnog odnosa</w:t>
            </w:r>
          </w:p>
        </w:tc>
        <w:tc>
          <w:tcPr>
            <w:tcW w:w="700" w:type="dxa"/>
            <w:tcMar>
              <w:top w:w="0" w:type="dxa"/>
              <w:bottom w:w="0" w:type="dxa"/>
            </w:tcMar>
            <w:vAlign w:val="center"/>
          </w:tcPr>
          <w:p w:rsidR="000E6FBB" w:rsidRDefault="002B75C4">
            <w:pPr>
              <w:keepNext/>
              <w:keepLines/>
              <w:spacing w:after="0" w:line="240" w:lineRule="auto"/>
            </w:pPr>
            <w:r>
              <w:rPr>
                <w:sz w:val="18"/>
              </w:rPr>
              <w:t>324</w:t>
            </w:r>
          </w:p>
        </w:tc>
        <w:tc>
          <w:tcPr>
            <w:tcW w:w="1860" w:type="dxa"/>
            <w:tcMar>
              <w:top w:w="0" w:type="dxa"/>
              <w:bottom w:w="0" w:type="dxa"/>
            </w:tcMar>
            <w:vAlign w:val="center"/>
          </w:tcPr>
          <w:p w:rsidR="000E6FBB" w:rsidRDefault="002B75C4">
            <w:pPr>
              <w:keepNext/>
              <w:keepLines/>
              <w:spacing w:after="0" w:line="240" w:lineRule="auto"/>
              <w:jc w:val="right"/>
            </w:pPr>
            <w:r>
              <w:rPr>
                <w:sz w:val="18"/>
              </w:rPr>
              <w:t>31.092,52</w:t>
            </w:r>
          </w:p>
        </w:tc>
        <w:tc>
          <w:tcPr>
            <w:tcW w:w="1860" w:type="dxa"/>
            <w:tcMar>
              <w:top w:w="0" w:type="dxa"/>
              <w:bottom w:w="0" w:type="dxa"/>
            </w:tcMar>
            <w:vAlign w:val="center"/>
          </w:tcPr>
          <w:p w:rsidR="000E6FBB" w:rsidRDefault="002B75C4">
            <w:pPr>
              <w:keepNext/>
              <w:keepLines/>
              <w:spacing w:after="0" w:line="240" w:lineRule="auto"/>
              <w:jc w:val="right"/>
            </w:pPr>
            <w:r>
              <w:rPr>
                <w:sz w:val="18"/>
              </w:rPr>
              <w:t>39.561,52</w:t>
            </w:r>
          </w:p>
        </w:tc>
        <w:tc>
          <w:tcPr>
            <w:tcW w:w="700" w:type="dxa"/>
            <w:tcMar>
              <w:top w:w="0" w:type="dxa"/>
              <w:bottom w:w="0" w:type="dxa"/>
            </w:tcMar>
            <w:vAlign w:val="center"/>
          </w:tcPr>
          <w:p w:rsidR="000E6FBB" w:rsidRDefault="002B75C4">
            <w:pPr>
              <w:keepNext/>
              <w:keepLines/>
              <w:spacing w:after="0" w:line="240" w:lineRule="auto"/>
              <w:jc w:val="right"/>
            </w:pPr>
            <w:r>
              <w:rPr>
                <w:sz w:val="18"/>
              </w:rPr>
              <w:t>127,2</w:t>
            </w:r>
          </w:p>
        </w:tc>
      </w:tr>
    </w:tbl>
    <w:p w:rsidR="000E6FBB" w:rsidRDefault="000E6FBB">
      <w:pPr>
        <w:spacing w:after="0"/>
      </w:pPr>
    </w:p>
    <w:p w:rsidR="000E6FBB" w:rsidRDefault="002B75C4">
      <w:r>
        <w:t xml:space="preserve">Naknade troškova osobama izvan radnog odnosa 39.561,52 eur (šifra 324) povećane su 27% u odnosu </w:t>
      </w:r>
      <w:proofErr w:type="gramStart"/>
      <w:r>
        <w:t>na</w:t>
      </w:r>
      <w:proofErr w:type="gramEnd"/>
      <w:r>
        <w:t xml:space="preserve"> isto izvještajno razdoblje prošle godine zbog plaćanja putnih troškova za vanjske suradnike koji pri Fakultetu ne primaju naknadu za svoj rad, a upućeni su n</w:t>
      </w:r>
      <w:r>
        <w:t xml:space="preserve">a službeni put. Primjerice studenti koji sudjeluju na natjecanjima u ime Fakulteta (STEM Games, formula i sl.), kao </w:t>
      </w:r>
      <w:proofErr w:type="gramStart"/>
      <w:r>
        <w:t>i  profesori</w:t>
      </w:r>
      <w:proofErr w:type="gramEnd"/>
      <w:r>
        <w:t xml:space="preserve"> – vanjski suradnici koji sudjeluju u održavanju nastave i na projektima Tehničkog fakulteta. </w:t>
      </w:r>
    </w:p>
    <w:p w:rsidR="000E6FBB" w:rsidRDefault="000E6FBB"/>
    <w:p w:rsidR="000E6FBB" w:rsidRDefault="002B75C4">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3296</w:t>
            </w:r>
          </w:p>
        </w:tc>
        <w:tc>
          <w:tcPr>
            <w:tcW w:w="3180" w:type="dxa"/>
            <w:tcMar>
              <w:top w:w="0" w:type="dxa"/>
              <w:bottom w:w="0" w:type="dxa"/>
            </w:tcMar>
            <w:vAlign w:val="center"/>
          </w:tcPr>
          <w:p w:rsidR="000E6FBB" w:rsidRDefault="002B75C4">
            <w:pPr>
              <w:keepNext/>
              <w:keepLines/>
              <w:spacing w:after="0" w:line="240" w:lineRule="auto"/>
            </w:pPr>
            <w:r>
              <w:rPr>
                <w:sz w:val="18"/>
              </w:rPr>
              <w:t>Troškovi sudskih postupaka</w:t>
            </w:r>
          </w:p>
        </w:tc>
        <w:tc>
          <w:tcPr>
            <w:tcW w:w="700" w:type="dxa"/>
            <w:tcMar>
              <w:top w:w="0" w:type="dxa"/>
              <w:bottom w:w="0" w:type="dxa"/>
            </w:tcMar>
            <w:vAlign w:val="center"/>
          </w:tcPr>
          <w:p w:rsidR="000E6FBB" w:rsidRDefault="002B75C4">
            <w:pPr>
              <w:keepNext/>
              <w:keepLines/>
              <w:spacing w:after="0" w:line="240" w:lineRule="auto"/>
            </w:pPr>
            <w:r>
              <w:rPr>
                <w:sz w:val="18"/>
              </w:rPr>
              <w:t>3296</w:t>
            </w:r>
          </w:p>
        </w:tc>
        <w:tc>
          <w:tcPr>
            <w:tcW w:w="1860" w:type="dxa"/>
            <w:tcMar>
              <w:top w:w="0" w:type="dxa"/>
              <w:bottom w:w="0" w:type="dxa"/>
            </w:tcMar>
            <w:vAlign w:val="center"/>
          </w:tcPr>
          <w:p w:rsidR="000E6FBB" w:rsidRDefault="002B75C4">
            <w:pPr>
              <w:keepNext/>
              <w:keepLines/>
              <w:spacing w:after="0" w:line="240" w:lineRule="auto"/>
              <w:jc w:val="right"/>
            </w:pPr>
            <w:r>
              <w:rPr>
                <w:sz w:val="18"/>
              </w:rPr>
              <w:t>2.070,97</w:t>
            </w:r>
          </w:p>
        </w:tc>
        <w:tc>
          <w:tcPr>
            <w:tcW w:w="1860" w:type="dxa"/>
            <w:tcMar>
              <w:top w:w="0" w:type="dxa"/>
              <w:bottom w:w="0" w:type="dxa"/>
            </w:tcMar>
            <w:vAlign w:val="center"/>
          </w:tcPr>
          <w:p w:rsidR="000E6FBB" w:rsidRDefault="002B75C4">
            <w:pPr>
              <w:keepNext/>
              <w:keepLines/>
              <w:spacing w:after="0" w:line="240" w:lineRule="auto"/>
              <w:jc w:val="right"/>
            </w:pPr>
            <w:r>
              <w:rPr>
                <w:sz w:val="18"/>
              </w:rPr>
              <w:t>7.587,50</w:t>
            </w:r>
          </w:p>
        </w:tc>
        <w:tc>
          <w:tcPr>
            <w:tcW w:w="700" w:type="dxa"/>
            <w:tcMar>
              <w:top w:w="0" w:type="dxa"/>
              <w:bottom w:w="0" w:type="dxa"/>
            </w:tcMar>
            <w:vAlign w:val="center"/>
          </w:tcPr>
          <w:p w:rsidR="000E6FBB" w:rsidRDefault="002B75C4">
            <w:pPr>
              <w:keepNext/>
              <w:keepLines/>
              <w:spacing w:after="0" w:line="240" w:lineRule="auto"/>
              <w:jc w:val="right"/>
            </w:pPr>
            <w:r>
              <w:rPr>
                <w:sz w:val="18"/>
              </w:rPr>
              <w:t>366,4</w:t>
            </w:r>
          </w:p>
        </w:tc>
      </w:tr>
    </w:tbl>
    <w:p w:rsidR="000E6FBB" w:rsidRDefault="000E6FBB">
      <w:pPr>
        <w:spacing w:after="0"/>
      </w:pPr>
    </w:p>
    <w:p w:rsidR="000E6FBB" w:rsidRDefault="002B75C4">
      <w:r>
        <w:t xml:space="preserve">Troškovi sudskih postupaka (šifra 3296) odnose se </w:t>
      </w:r>
      <w:proofErr w:type="gramStart"/>
      <w:r>
        <w:t>na</w:t>
      </w:r>
      <w:proofErr w:type="gramEnd"/>
      <w:r>
        <w:t xml:space="preserve"> isplatu plaće po sudskoj presudi.</w:t>
      </w:r>
    </w:p>
    <w:p w:rsidR="000E6FBB" w:rsidRDefault="000E6FBB"/>
    <w:p w:rsidR="000E6FBB" w:rsidRDefault="002B75C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3433</w:t>
            </w:r>
          </w:p>
        </w:tc>
        <w:tc>
          <w:tcPr>
            <w:tcW w:w="3180" w:type="dxa"/>
            <w:tcMar>
              <w:top w:w="0" w:type="dxa"/>
              <w:bottom w:w="0" w:type="dxa"/>
            </w:tcMar>
            <w:vAlign w:val="center"/>
          </w:tcPr>
          <w:p w:rsidR="000E6FBB" w:rsidRDefault="002B75C4">
            <w:pPr>
              <w:keepNext/>
              <w:keepLines/>
              <w:spacing w:after="0" w:line="240" w:lineRule="auto"/>
            </w:pPr>
            <w:r>
              <w:rPr>
                <w:sz w:val="18"/>
              </w:rPr>
              <w:t>Zatezne kamate</w:t>
            </w:r>
          </w:p>
        </w:tc>
        <w:tc>
          <w:tcPr>
            <w:tcW w:w="700" w:type="dxa"/>
            <w:tcMar>
              <w:top w:w="0" w:type="dxa"/>
              <w:bottom w:w="0" w:type="dxa"/>
            </w:tcMar>
            <w:vAlign w:val="center"/>
          </w:tcPr>
          <w:p w:rsidR="000E6FBB" w:rsidRDefault="002B75C4">
            <w:pPr>
              <w:keepNext/>
              <w:keepLines/>
              <w:spacing w:after="0" w:line="240" w:lineRule="auto"/>
            </w:pPr>
            <w:r>
              <w:rPr>
                <w:sz w:val="18"/>
              </w:rPr>
              <w:t>3433</w:t>
            </w:r>
          </w:p>
        </w:tc>
        <w:tc>
          <w:tcPr>
            <w:tcW w:w="1860" w:type="dxa"/>
            <w:tcMar>
              <w:top w:w="0" w:type="dxa"/>
              <w:bottom w:w="0" w:type="dxa"/>
            </w:tcMar>
            <w:vAlign w:val="center"/>
          </w:tcPr>
          <w:p w:rsidR="000E6FBB" w:rsidRDefault="002B75C4">
            <w:pPr>
              <w:keepNext/>
              <w:keepLines/>
              <w:spacing w:after="0" w:line="240" w:lineRule="auto"/>
              <w:jc w:val="right"/>
            </w:pPr>
            <w:r>
              <w:rPr>
                <w:sz w:val="18"/>
              </w:rPr>
              <w:t>0,15</w:t>
            </w:r>
          </w:p>
        </w:tc>
        <w:tc>
          <w:tcPr>
            <w:tcW w:w="1860" w:type="dxa"/>
            <w:tcMar>
              <w:top w:w="0" w:type="dxa"/>
              <w:bottom w:w="0" w:type="dxa"/>
            </w:tcMar>
            <w:vAlign w:val="center"/>
          </w:tcPr>
          <w:p w:rsidR="000E6FBB" w:rsidRDefault="002B75C4">
            <w:pPr>
              <w:keepNext/>
              <w:keepLines/>
              <w:spacing w:after="0" w:line="240" w:lineRule="auto"/>
              <w:jc w:val="right"/>
            </w:pPr>
            <w:r>
              <w:rPr>
                <w:sz w:val="18"/>
              </w:rPr>
              <w:t>6.305,25</w:t>
            </w:r>
          </w:p>
        </w:tc>
        <w:tc>
          <w:tcPr>
            <w:tcW w:w="700" w:type="dxa"/>
            <w:tcMar>
              <w:top w:w="0" w:type="dxa"/>
              <w:bottom w:w="0" w:type="dxa"/>
            </w:tcMar>
            <w:vAlign w:val="center"/>
          </w:tcPr>
          <w:p w:rsidR="000E6FBB" w:rsidRDefault="002B75C4">
            <w:pPr>
              <w:keepNext/>
              <w:keepLines/>
              <w:spacing w:after="0" w:line="240" w:lineRule="auto"/>
              <w:jc w:val="right"/>
            </w:pPr>
            <w:r>
              <w:rPr>
                <w:sz w:val="18"/>
              </w:rPr>
              <w:t>&gt;&gt;100</w:t>
            </w:r>
          </w:p>
        </w:tc>
      </w:tr>
    </w:tbl>
    <w:p w:rsidR="000E6FBB" w:rsidRDefault="000E6FBB">
      <w:pPr>
        <w:spacing w:after="0"/>
      </w:pPr>
    </w:p>
    <w:p w:rsidR="000E6FBB" w:rsidRDefault="002B75C4">
      <w:r>
        <w:t xml:space="preserve">Troškovi zateznih kamata (šifra 3433) odnose se </w:t>
      </w:r>
      <w:proofErr w:type="gramStart"/>
      <w:r>
        <w:t>na</w:t>
      </w:r>
      <w:proofErr w:type="gramEnd"/>
      <w:r>
        <w:t xml:space="preserve"> zatezne kamate po sudskoj presudi za naknadu štete na ime bruto iznosa neostvarene plaće.</w:t>
      </w:r>
    </w:p>
    <w:p w:rsidR="000E6FBB" w:rsidRDefault="000E6FBB"/>
    <w:p w:rsidR="000E6FBB" w:rsidRDefault="002B75C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353</w:t>
            </w:r>
          </w:p>
        </w:tc>
        <w:tc>
          <w:tcPr>
            <w:tcW w:w="3180" w:type="dxa"/>
            <w:tcMar>
              <w:top w:w="0" w:type="dxa"/>
              <w:bottom w:w="0" w:type="dxa"/>
            </w:tcMar>
            <w:vAlign w:val="center"/>
          </w:tcPr>
          <w:p w:rsidR="000E6FBB" w:rsidRDefault="002B75C4">
            <w:pPr>
              <w:keepNext/>
              <w:keepLines/>
              <w:spacing w:after="0" w:line="240" w:lineRule="auto"/>
            </w:pPr>
            <w:r>
              <w:rPr>
                <w:sz w:val="18"/>
              </w:rPr>
              <w:t>Subvencije trgovačkim društvima, zadrugama, poljoprivrednicima i obrtnicima iz EU sredstava</w:t>
            </w:r>
          </w:p>
        </w:tc>
        <w:tc>
          <w:tcPr>
            <w:tcW w:w="700" w:type="dxa"/>
            <w:tcMar>
              <w:top w:w="0" w:type="dxa"/>
              <w:bottom w:w="0" w:type="dxa"/>
            </w:tcMar>
            <w:vAlign w:val="center"/>
          </w:tcPr>
          <w:p w:rsidR="000E6FBB" w:rsidRDefault="002B75C4">
            <w:pPr>
              <w:keepNext/>
              <w:keepLines/>
              <w:spacing w:after="0" w:line="240" w:lineRule="auto"/>
            </w:pPr>
            <w:r>
              <w:rPr>
                <w:sz w:val="18"/>
              </w:rPr>
              <w:t>353</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9.389,74</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 xml:space="preserve">Subvencije trgovačkim društvima, zadrugama i sl. iz EU sredstava (šifra 353) odnose se </w:t>
      </w:r>
      <w:proofErr w:type="gramStart"/>
      <w:r>
        <w:t>na</w:t>
      </w:r>
      <w:proofErr w:type="gramEnd"/>
      <w:r>
        <w:t xml:space="preserve"> prijenos sredstava za partnera na projektu NPOO Nova generacija višejezgrenih digitalnih sustava upravljanja za nisko i srednjenaponske elektroničke energetske pretva</w:t>
      </w:r>
      <w:r>
        <w:t>rače, Kod projekta: NPOO.C3.2.R3-I1.02.0032.</w:t>
      </w:r>
    </w:p>
    <w:p w:rsidR="000E6FBB" w:rsidRDefault="000E6FBB"/>
    <w:p w:rsidR="000E6FBB" w:rsidRDefault="002B75C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36</w:t>
            </w:r>
          </w:p>
        </w:tc>
        <w:tc>
          <w:tcPr>
            <w:tcW w:w="3180" w:type="dxa"/>
            <w:tcMar>
              <w:top w:w="0" w:type="dxa"/>
              <w:bottom w:w="0" w:type="dxa"/>
            </w:tcMar>
            <w:vAlign w:val="center"/>
          </w:tcPr>
          <w:p w:rsidR="000E6FBB" w:rsidRDefault="002B75C4">
            <w:pPr>
              <w:keepNext/>
              <w:keepLines/>
              <w:spacing w:after="0" w:line="240" w:lineRule="auto"/>
            </w:pPr>
            <w:r>
              <w:rPr>
                <w:sz w:val="18"/>
              </w:rPr>
              <w:t xml:space="preserve">Pomoći dane u inozemstvo i unutar općeg </w:t>
            </w:r>
            <w:r>
              <w:rPr>
                <w:sz w:val="18"/>
              </w:rPr>
              <w:t>proračuna (šifre 361+362+363+365+366+367+368+369)</w:t>
            </w:r>
          </w:p>
        </w:tc>
        <w:tc>
          <w:tcPr>
            <w:tcW w:w="700" w:type="dxa"/>
            <w:tcMar>
              <w:top w:w="0" w:type="dxa"/>
              <w:bottom w:w="0" w:type="dxa"/>
            </w:tcMar>
            <w:vAlign w:val="center"/>
          </w:tcPr>
          <w:p w:rsidR="000E6FBB" w:rsidRDefault="002B75C4">
            <w:pPr>
              <w:keepNext/>
              <w:keepLines/>
              <w:spacing w:after="0" w:line="240" w:lineRule="auto"/>
            </w:pPr>
            <w:r>
              <w:rPr>
                <w:sz w:val="18"/>
              </w:rPr>
              <w:t>36</w:t>
            </w:r>
          </w:p>
        </w:tc>
        <w:tc>
          <w:tcPr>
            <w:tcW w:w="1860" w:type="dxa"/>
            <w:tcMar>
              <w:top w:w="0" w:type="dxa"/>
              <w:bottom w:w="0" w:type="dxa"/>
            </w:tcMar>
            <w:vAlign w:val="center"/>
          </w:tcPr>
          <w:p w:rsidR="000E6FBB" w:rsidRDefault="002B75C4">
            <w:pPr>
              <w:keepNext/>
              <w:keepLines/>
              <w:spacing w:after="0" w:line="240" w:lineRule="auto"/>
              <w:jc w:val="right"/>
            </w:pPr>
            <w:r>
              <w:rPr>
                <w:sz w:val="18"/>
              </w:rPr>
              <w:t>79.926,72</w:t>
            </w:r>
          </w:p>
        </w:tc>
        <w:tc>
          <w:tcPr>
            <w:tcW w:w="1860" w:type="dxa"/>
            <w:tcMar>
              <w:top w:w="0" w:type="dxa"/>
              <w:bottom w:w="0" w:type="dxa"/>
            </w:tcMar>
            <w:vAlign w:val="center"/>
          </w:tcPr>
          <w:p w:rsidR="000E6FBB" w:rsidRDefault="002B75C4">
            <w:pPr>
              <w:keepNext/>
              <w:keepLines/>
              <w:spacing w:after="0" w:line="240" w:lineRule="auto"/>
              <w:jc w:val="right"/>
            </w:pPr>
            <w:r>
              <w:rPr>
                <w:sz w:val="18"/>
              </w:rPr>
              <w:t>121.969,11</w:t>
            </w:r>
          </w:p>
        </w:tc>
        <w:tc>
          <w:tcPr>
            <w:tcW w:w="700" w:type="dxa"/>
            <w:tcMar>
              <w:top w:w="0" w:type="dxa"/>
              <w:bottom w:w="0" w:type="dxa"/>
            </w:tcMar>
            <w:vAlign w:val="center"/>
          </w:tcPr>
          <w:p w:rsidR="000E6FBB" w:rsidRDefault="002B75C4">
            <w:pPr>
              <w:keepNext/>
              <w:keepLines/>
              <w:spacing w:after="0" w:line="240" w:lineRule="auto"/>
              <w:jc w:val="right"/>
            </w:pPr>
            <w:r>
              <w:rPr>
                <w:sz w:val="18"/>
              </w:rPr>
              <w:t>152,6</w:t>
            </w:r>
          </w:p>
        </w:tc>
      </w:tr>
    </w:tbl>
    <w:p w:rsidR="000E6FBB" w:rsidRDefault="000E6FBB">
      <w:pPr>
        <w:spacing w:after="0"/>
      </w:pPr>
    </w:p>
    <w:p w:rsidR="000E6FBB" w:rsidRDefault="002B75C4">
      <w:r>
        <w:t xml:space="preserve">Pomoći dane u inozemstvo i unutar općeg proračuna 121.969,11 eur (šifra 36), uvećane su za 53% zbog </w:t>
      </w:r>
      <w:proofErr w:type="gramStart"/>
      <w:r>
        <w:t>većih  prijenosa</w:t>
      </w:r>
      <w:proofErr w:type="gramEnd"/>
      <w:r>
        <w:t xml:space="preserve"> sredstava partnerima na projektima i izdvajanja 3+1% prihoda u godišnji Sveučilišni proračun.</w:t>
      </w:r>
    </w:p>
    <w:p w:rsidR="000E6FBB" w:rsidRDefault="000E6FBB"/>
    <w:p w:rsidR="000E6FBB" w:rsidRDefault="002B75C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3611</w:t>
            </w:r>
          </w:p>
        </w:tc>
        <w:tc>
          <w:tcPr>
            <w:tcW w:w="3180" w:type="dxa"/>
            <w:tcMar>
              <w:top w:w="0" w:type="dxa"/>
              <w:bottom w:w="0" w:type="dxa"/>
            </w:tcMar>
            <w:vAlign w:val="center"/>
          </w:tcPr>
          <w:p w:rsidR="000E6FBB" w:rsidRDefault="002B75C4">
            <w:pPr>
              <w:keepNext/>
              <w:keepLines/>
              <w:spacing w:after="0" w:line="240" w:lineRule="auto"/>
            </w:pPr>
            <w:r>
              <w:rPr>
                <w:sz w:val="18"/>
              </w:rPr>
              <w:t>Tekuće pomoći inozemnim vladama</w:t>
            </w:r>
          </w:p>
        </w:tc>
        <w:tc>
          <w:tcPr>
            <w:tcW w:w="700" w:type="dxa"/>
            <w:tcMar>
              <w:top w:w="0" w:type="dxa"/>
              <w:bottom w:w="0" w:type="dxa"/>
            </w:tcMar>
            <w:vAlign w:val="center"/>
          </w:tcPr>
          <w:p w:rsidR="000E6FBB" w:rsidRDefault="002B75C4">
            <w:pPr>
              <w:keepNext/>
              <w:keepLines/>
              <w:spacing w:after="0" w:line="240" w:lineRule="auto"/>
            </w:pPr>
            <w:r>
              <w:rPr>
                <w:sz w:val="18"/>
              </w:rPr>
              <w:t>3611</w:t>
            </w:r>
          </w:p>
        </w:tc>
        <w:tc>
          <w:tcPr>
            <w:tcW w:w="1860" w:type="dxa"/>
            <w:tcMar>
              <w:top w:w="0" w:type="dxa"/>
              <w:bottom w:w="0" w:type="dxa"/>
            </w:tcMar>
            <w:vAlign w:val="center"/>
          </w:tcPr>
          <w:p w:rsidR="000E6FBB" w:rsidRDefault="002B75C4">
            <w:pPr>
              <w:keepNext/>
              <w:keepLines/>
              <w:spacing w:after="0" w:line="240" w:lineRule="auto"/>
              <w:jc w:val="right"/>
            </w:pPr>
            <w:r>
              <w:rPr>
                <w:sz w:val="18"/>
              </w:rPr>
              <w:t>42.691,91</w:t>
            </w:r>
          </w:p>
        </w:tc>
        <w:tc>
          <w:tcPr>
            <w:tcW w:w="1860" w:type="dxa"/>
            <w:tcMar>
              <w:top w:w="0" w:type="dxa"/>
              <w:bottom w:w="0" w:type="dxa"/>
            </w:tcMar>
            <w:vAlign w:val="center"/>
          </w:tcPr>
          <w:p w:rsidR="000E6FBB" w:rsidRDefault="002B75C4">
            <w:pPr>
              <w:keepNext/>
              <w:keepLines/>
              <w:spacing w:after="0" w:line="240" w:lineRule="auto"/>
              <w:jc w:val="right"/>
            </w:pPr>
            <w:r>
              <w:rPr>
                <w:sz w:val="18"/>
              </w:rPr>
              <w:t>78.372,95</w:t>
            </w:r>
          </w:p>
        </w:tc>
        <w:tc>
          <w:tcPr>
            <w:tcW w:w="700" w:type="dxa"/>
            <w:tcMar>
              <w:top w:w="0" w:type="dxa"/>
              <w:bottom w:w="0" w:type="dxa"/>
            </w:tcMar>
            <w:vAlign w:val="center"/>
          </w:tcPr>
          <w:p w:rsidR="000E6FBB" w:rsidRDefault="002B75C4">
            <w:pPr>
              <w:keepNext/>
              <w:keepLines/>
              <w:spacing w:after="0" w:line="240" w:lineRule="auto"/>
              <w:jc w:val="right"/>
            </w:pPr>
            <w:r>
              <w:rPr>
                <w:sz w:val="18"/>
              </w:rPr>
              <w:t>183,6</w:t>
            </w:r>
          </w:p>
        </w:tc>
      </w:tr>
    </w:tbl>
    <w:p w:rsidR="000E6FBB" w:rsidRDefault="000E6FBB">
      <w:pPr>
        <w:spacing w:after="0"/>
      </w:pPr>
    </w:p>
    <w:p w:rsidR="000E6FBB" w:rsidRDefault="002B75C4">
      <w:r>
        <w:t>Prijenosi sredstava tekućih pomoći inozemnim vladama u iznosu 78.372,95 eur (šifra 3611) odnose se na projektne partnere kako slijedi: CRECI NORCE; Erasmus+ EVERYONE Universita Padova;  Erasmus+ EVERYONE Univerza v Ljubljani; Erasmus+ WICT Ionian Universit</w:t>
      </w:r>
      <w:r>
        <w:t>y Corfu, Greece; Erasmus+ WICT Cracow University of Economics, Poland; Erasmus+ WICT University of Kragujevac, Serbia.</w:t>
      </w:r>
    </w:p>
    <w:p w:rsidR="000E6FBB" w:rsidRDefault="000E6FBB"/>
    <w:p w:rsidR="000E6FBB" w:rsidRDefault="002B75C4">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3621</w:t>
            </w:r>
          </w:p>
        </w:tc>
        <w:tc>
          <w:tcPr>
            <w:tcW w:w="3180" w:type="dxa"/>
            <w:tcMar>
              <w:top w:w="0" w:type="dxa"/>
              <w:bottom w:w="0" w:type="dxa"/>
            </w:tcMar>
            <w:vAlign w:val="center"/>
          </w:tcPr>
          <w:p w:rsidR="000E6FBB" w:rsidRDefault="002B75C4">
            <w:pPr>
              <w:keepNext/>
              <w:keepLines/>
              <w:spacing w:after="0" w:line="240" w:lineRule="auto"/>
            </w:pPr>
            <w:r>
              <w:rPr>
                <w:sz w:val="18"/>
              </w:rPr>
              <w:t>Tekuće pomoći međunarodnim organizacijama te institucijama i tijelima EU</w:t>
            </w:r>
          </w:p>
        </w:tc>
        <w:tc>
          <w:tcPr>
            <w:tcW w:w="700" w:type="dxa"/>
            <w:tcMar>
              <w:top w:w="0" w:type="dxa"/>
              <w:bottom w:w="0" w:type="dxa"/>
            </w:tcMar>
            <w:vAlign w:val="center"/>
          </w:tcPr>
          <w:p w:rsidR="000E6FBB" w:rsidRDefault="002B75C4">
            <w:pPr>
              <w:keepNext/>
              <w:keepLines/>
              <w:spacing w:after="0" w:line="240" w:lineRule="auto"/>
            </w:pPr>
            <w:r>
              <w:rPr>
                <w:sz w:val="18"/>
              </w:rPr>
              <w:t>3621</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866,00</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Prijenosi sredstava tekućih pomoći međunarodnim organizacijama u iznosu 866</w:t>
      </w:r>
      <w:proofErr w:type="gramStart"/>
      <w:r>
        <w:t>,00</w:t>
      </w:r>
      <w:proofErr w:type="gramEnd"/>
      <w:r>
        <w:t xml:space="preserve"> eur (šifra 3621) odnosi se na prijenos partneru na projektu Erasmus+ WICT - primatelj prijenosa Pazmany Peter Catholic University Budapest.</w:t>
      </w:r>
    </w:p>
    <w:p w:rsidR="000E6FBB" w:rsidRDefault="000E6FBB"/>
    <w:p w:rsidR="000E6FBB" w:rsidRDefault="002B75C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3691</w:t>
            </w:r>
          </w:p>
        </w:tc>
        <w:tc>
          <w:tcPr>
            <w:tcW w:w="3180" w:type="dxa"/>
            <w:tcMar>
              <w:top w:w="0" w:type="dxa"/>
              <w:bottom w:w="0" w:type="dxa"/>
            </w:tcMar>
            <w:vAlign w:val="center"/>
          </w:tcPr>
          <w:p w:rsidR="000E6FBB" w:rsidRDefault="002B75C4">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0E6FBB" w:rsidRDefault="002B75C4">
            <w:pPr>
              <w:keepNext/>
              <w:keepLines/>
              <w:spacing w:after="0" w:line="240" w:lineRule="auto"/>
            </w:pPr>
            <w:r>
              <w:rPr>
                <w:sz w:val="18"/>
              </w:rPr>
              <w:t>3691</w:t>
            </w:r>
          </w:p>
        </w:tc>
        <w:tc>
          <w:tcPr>
            <w:tcW w:w="1860" w:type="dxa"/>
            <w:tcMar>
              <w:top w:w="0" w:type="dxa"/>
              <w:bottom w:w="0" w:type="dxa"/>
            </w:tcMar>
            <w:vAlign w:val="center"/>
          </w:tcPr>
          <w:p w:rsidR="000E6FBB" w:rsidRDefault="002B75C4">
            <w:pPr>
              <w:keepNext/>
              <w:keepLines/>
              <w:spacing w:after="0" w:line="240" w:lineRule="auto"/>
              <w:jc w:val="right"/>
            </w:pPr>
            <w:r>
              <w:rPr>
                <w:sz w:val="18"/>
              </w:rPr>
              <w:t>27.433,87</w:t>
            </w:r>
          </w:p>
        </w:tc>
        <w:tc>
          <w:tcPr>
            <w:tcW w:w="1860" w:type="dxa"/>
            <w:tcMar>
              <w:top w:w="0" w:type="dxa"/>
              <w:bottom w:w="0" w:type="dxa"/>
            </w:tcMar>
            <w:vAlign w:val="center"/>
          </w:tcPr>
          <w:p w:rsidR="000E6FBB" w:rsidRDefault="002B75C4">
            <w:pPr>
              <w:keepNext/>
              <w:keepLines/>
              <w:spacing w:after="0" w:line="240" w:lineRule="auto"/>
              <w:jc w:val="right"/>
            </w:pPr>
            <w:r>
              <w:rPr>
                <w:sz w:val="18"/>
              </w:rPr>
              <w:t>23.695,77</w:t>
            </w:r>
          </w:p>
        </w:tc>
        <w:tc>
          <w:tcPr>
            <w:tcW w:w="700" w:type="dxa"/>
            <w:tcMar>
              <w:top w:w="0" w:type="dxa"/>
              <w:bottom w:w="0" w:type="dxa"/>
            </w:tcMar>
            <w:vAlign w:val="center"/>
          </w:tcPr>
          <w:p w:rsidR="000E6FBB" w:rsidRDefault="002B75C4">
            <w:pPr>
              <w:keepNext/>
              <w:keepLines/>
              <w:spacing w:after="0" w:line="240" w:lineRule="auto"/>
              <w:jc w:val="right"/>
            </w:pPr>
            <w:r>
              <w:rPr>
                <w:sz w:val="18"/>
              </w:rPr>
              <w:t>86,4</w:t>
            </w:r>
          </w:p>
        </w:tc>
      </w:tr>
    </w:tbl>
    <w:p w:rsidR="000E6FBB" w:rsidRDefault="000E6FBB">
      <w:pPr>
        <w:spacing w:after="0"/>
      </w:pPr>
    </w:p>
    <w:p w:rsidR="000E6FBB" w:rsidRDefault="002B75C4">
      <w:r>
        <w:t>Tekući prijenosi između proračunskih korisnika istog proračuna (šifra 3691) u iznosu 23.695,77 eur odnose se na prijenose Sveučilištu u Rijeci za obračun izdvajanja 3% prihoda od školarina i vlastitih prihoda ostvarenih na tržištu temeljem čl. 95. st. 1. S</w:t>
      </w:r>
      <w:r>
        <w:t>tatuta Sveučilišta (19.241</w:t>
      </w:r>
      <w:proofErr w:type="gramStart"/>
      <w:r>
        <w:t>,72</w:t>
      </w:r>
      <w:proofErr w:type="gramEnd"/>
      <w:r>
        <w:t xml:space="preserve"> eur),  te obračun izdvajanja 1% prihoda od školarina i vlastitih prihoda ostvarenih na tržištu prema Odluci Senata sa 74. </w:t>
      </w:r>
      <w:proofErr w:type="gramStart"/>
      <w:r>
        <w:t>sjednice</w:t>
      </w:r>
      <w:proofErr w:type="gramEnd"/>
      <w:r>
        <w:t xml:space="preserve"> održane 25.10.2022. </w:t>
      </w:r>
      <w:proofErr w:type="gramStart"/>
      <w:r>
        <w:t>god</w:t>
      </w:r>
      <w:proofErr w:type="gramEnd"/>
      <w:r>
        <w:t>. (4.454</w:t>
      </w:r>
      <w:proofErr w:type="gramStart"/>
      <w:r>
        <w:t>,05</w:t>
      </w:r>
      <w:proofErr w:type="gramEnd"/>
      <w:r>
        <w:t xml:space="preserve"> eur).</w:t>
      </w:r>
    </w:p>
    <w:p w:rsidR="000E6FBB" w:rsidRDefault="000E6FBB"/>
    <w:p w:rsidR="000E6FBB" w:rsidRDefault="002B75C4">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3693</w:t>
            </w:r>
          </w:p>
        </w:tc>
        <w:tc>
          <w:tcPr>
            <w:tcW w:w="3180" w:type="dxa"/>
            <w:tcMar>
              <w:top w:w="0" w:type="dxa"/>
              <w:bottom w:w="0" w:type="dxa"/>
            </w:tcMar>
            <w:vAlign w:val="center"/>
          </w:tcPr>
          <w:p w:rsidR="000E6FBB" w:rsidRDefault="002B75C4">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rsidR="000E6FBB" w:rsidRDefault="002B75C4">
            <w:pPr>
              <w:keepNext/>
              <w:keepLines/>
              <w:spacing w:after="0" w:line="240" w:lineRule="auto"/>
            </w:pPr>
            <w:r>
              <w:rPr>
                <w:sz w:val="18"/>
              </w:rPr>
              <w:t>3693</w:t>
            </w:r>
          </w:p>
        </w:tc>
        <w:tc>
          <w:tcPr>
            <w:tcW w:w="1860" w:type="dxa"/>
            <w:tcMar>
              <w:top w:w="0" w:type="dxa"/>
              <w:bottom w:w="0" w:type="dxa"/>
            </w:tcMar>
            <w:vAlign w:val="center"/>
          </w:tcPr>
          <w:p w:rsidR="000E6FBB" w:rsidRDefault="002B75C4">
            <w:pPr>
              <w:keepNext/>
              <w:keepLines/>
              <w:spacing w:after="0" w:line="240" w:lineRule="auto"/>
              <w:jc w:val="right"/>
            </w:pPr>
            <w:r>
              <w:rPr>
                <w:sz w:val="18"/>
              </w:rPr>
              <w:t>9.800,94</w:t>
            </w:r>
          </w:p>
        </w:tc>
        <w:tc>
          <w:tcPr>
            <w:tcW w:w="1860" w:type="dxa"/>
            <w:tcMar>
              <w:top w:w="0" w:type="dxa"/>
              <w:bottom w:w="0" w:type="dxa"/>
            </w:tcMar>
            <w:vAlign w:val="center"/>
          </w:tcPr>
          <w:p w:rsidR="000E6FBB" w:rsidRDefault="002B75C4">
            <w:pPr>
              <w:keepNext/>
              <w:keepLines/>
              <w:spacing w:after="0" w:line="240" w:lineRule="auto"/>
              <w:jc w:val="right"/>
            </w:pPr>
            <w:r>
              <w:rPr>
                <w:sz w:val="18"/>
              </w:rPr>
              <w:t>19.034,39</w:t>
            </w:r>
          </w:p>
        </w:tc>
        <w:tc>
          <w:tcPr>
            <w:tcW w:w="700" w:type="dxa"/>
            <w:tcMar>
              <w:top w:w="0" w:type="dxa"/>
              <w:bottom w:w="0" w:type="dxa"/>
            </w:tcMar>
            <w:vAlign w:val="center"/>
          </w:tcPr>
          <w:p w:rsidR="000E6FBB" w:rsidRDefault="002B75C4">
            <w:pPr>
              <w:keepNext/>
              <w:keepLines/>
              <w:spacing w:after="0" w:line="240" w:lineRule="auto"/>
              <w:jc w:val="right"/>
            </w:pPr>
            <w:r>
              <w:rPr>
                <w:sz w:val="18"/>
              </w:rPr>
              <w:t>194,2</w:t>
            </w:r>
          </w:p>
        </w:tc>
      </w:tr>
    </w:tbl>
    <w:p w:rsidR="000E6FBB" w:rsidRDefault="000E6FBB">
      <w:pPr>
        <w:spacing w:after="0"/>
      </w:pPr>
    </w:p>
    <w:p w:rsidR="000E6FBB" w:rsidRDefault="002B75C4">
      <w:r>
        <w:t xml:space="preserve">Tekući prijenosi između proračunskih korisnika istog proračuna temeljem prijenosa EU sredstava (šifra 3693) u iznosu 19.034,39 eur odnose se </w:t>
      </w:r>
      <w:proofErr w:type="gramStart"/>
      <w:r>
        <w:t>na</w:t>
      </w:r>
      <w:proofErr w:type="gramEnd"/>
      <w:r>
        <w:t xml:space="preserve"> prijenose partneru na projektu KLIMOD – Računalni model strujanja, poplavljivanja i širenja onečišćenja u rijeka</w:t>
      </w:r>
      <w:r>
        <w:t>ma i obalnim morskim područjima; Institut Ruđer Bošković Zagreb.</w:t>
      </w:r>
    </w:p>
    <w:p w:rsidR="000E6FBB" w:rsidRDefault="000E6FBB"/>
    <w:p w:rsidR="000E6FBB" w:rsidRDefault="002B75C4">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37</w:t>
            </w:r>
          </w:p>
        </w:tc>
        <w:tc>
          <w:tcPr>
            <w:tcW w:w="3180" w:type="dxa"/>
            <w:tcMar>
              <w:top w:w="0" w:type="dxa"/>
              <w:bottom w:w="0" w:type="dxa"/>
            </w:tcMar>
            <w:vAlign w:val="center"/>
          </w:tcPr>
          <w:p w:rsidR="000E6FBB" w:rsidRDefault="002B75C4">
            <w:pPr>
              <w:keepNext/>
              <w:keepLines/>
              <w:spacing w:after="0" w:line="240" w:lineRule="auto"/>
            </w:pPr>
            <w:r>
              <w:rPr>
                <w:sz w:val="18"/>
              </w:rPr>
              <w:t xml:space="preserve">Naknade građanima i </w:t>
            </w:r>
            <w:r>
              <w:rPr>
                <w:sz w:val="18"/>
              </w:rPr>
              <w:t>kućanstvima na temelju osiguranja i druge naknade (šifre 371+372)</w:t>
            </w:r>
          </w:p>
        </w:tc>
        <w:tc>
          <w:tcPr>
            <w:tcW w:w="700" w:type="dxa"/>
            <w:tcMar>
              <w:top w:w="0" w:type="dxa"/>
              <w:bottom w:w="0" w:type="dxa"/>
            </w:tcMar>
            <w:vAlign w:val="center"/>
          </w:tcPr>
          <w:p w:rsidR="000E6FBB" w:rsidRDefault="002B75C4">
            <w:pPr>
              <w:keepNext/>
              <w:keepLines/>
              <w:spacing w:after="0" w:line="240" w:lineRule="auto"/>
            </w:pPr>
            <w:r>
              <w:rPr>
                <w:sz w:val="18"/>
              </w:rPr>
              <w:t>37</w:t>
            </w:r>
          </w:p>
        </w:tc>
        <w:tc>
          <w:tcPr>
            <w:tcW w:w="1860" w:type="dxa"/>
            <w:tcMar>
              <w:top w:w="0" w:type="dxa"/>
              <w:bottom w:w="0" w:type="dxa"/>
            </w:tcMar>
            <w:vAlign w:val="center"/>
          </w:tcPr>
          <w:p w:rsidR="000E6FBB" w:rsidRDefault="002B75C4">
            <w:pPr>
              <w:keepNext/>
              <w:keepLines/>
              <w:spacing w:after="0" w:line="240" w:lineRule="auto"/>
              <w:jc w:val="right"/>
            </w:pPr>
            <w:r>
              <w:rPr>
                <w:sz w:val="18"/>
              </w:rPr>
              <w:t>55.130,00</w:t>
            </w:r>
          </w:p>
        </w:tc>
        <w:tc>
          <w:tcPr>
            <w:tcW w:w="1860" w:type="dxa"/>
            <w:tcMar>
              <w:top w:w="0" w:type="dxa"/>
              <w:bottom w:w="0" w:type="dxa"/>
            </w:tcMar>
            <w:vAlign w:val="center"/>
          </w:tcPr>
          <w:p w:rsidR="000E6FBB" w:rsidRDefault="002B75C4">
            <w:pPr>
              <w:keepNext/>
              <w:keepLines/>
              <w:spacing w:after="0" w:line="240" w:lineRule="auto"/>
              <w:jc w:val="right"/>
            </w:pPr>
            <w:r>
              <w:rPr>
                <w:sz w:val="18"/>
              </w:rPr>
              <w:t>48.000,00</w:t>
            </w:r>
          </w:p>
        </w:tc>
        <w:tc>
          <w:tcPr>
            <w:tcW w:w="700" w:type="dxa"/>
            <w:tcMar>
              <w:top w:w="0" w:type="dxa"/>
              <w:bottom w:w="0" w:type="dxa"/>
            </w:tcMar>
            <w:vAlign w:val="center"/>
          </w:tcPr>
          <w:p w:rsidR="000E6FBB" w:rsidRDefault="002B75C4">
            <w:pPr>
              <w:keepNext/>
              <w:keepLines/>
              <w:spacing w:after="0" w:line="240" w:lineRule="auto"/>
              <w:jc w:val="right"/>
            </w:pPr>
            <w:r>
              <w:rPr>
                <w:sz w:val="18"/>
              </w:rPr>
              <w:t>87,1</w:t>
            </w:r>
          </w:p>
        </w:tc>
      </w:tr>
    </w:tbl>
    <w:p w:rsidR="000E6FBB" w:rsidRDefault="000E6FBB">
      <w:pPr>
        <w:spacing w:after="0"/>
      </w:pPr>
    </w:p>
    <w:p w:rsidR="000E6FBB" w:rsidRDefault="002B75C4">
      <w:r>
        <w:t xml:space="preserve">Naknade građanima i kućanstvima </w:t>
      </w:r>
      <w:proofErr w:type="gramStart"/>
      <w:r>
        <w:t>na</w:t>
      </w:r>
      <w:proofErr w:type="gramEnd"/>
      <w:r>
        <w:t xml:space="preserve"> temelju osiguranja i druge naknade (šifra 37) odnose se na stipendije Hrvatske zaklade za znanost, odnosno program mobilnosti - NPOO za odlazne studente, u ukupnom isplaćenom iznosu 48.000,00 eur. </w:t>
      </w:r>
    </w:p>
    <w:p w:rsidR="000E6FBB" w:rsidRDefault="000E6FBB"/>
    <w:p w:rsidR="000E6FBB" w:rsidRDefault="002B75C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7</w:t>
            </w:r>
          </w:p>
        </w:tc>
        <w:tc>
          <w:tcPr>
            <w:tcW w:w="3180" w:type="dxa"/>
            <w:tcMar>
              <w:top w:w="0" w:type="dxa"/>
              <w:bottom w:w="0" w:type="dxa"/>
            </w:tcMar>
            <w:vAlign w:val="center"/>
          </w:tcPr>
          <w:p w:rsidR="000E6FBB" w:rsidRDefault="002B75C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E6FBB" w:rsidRDefault="002B75C4">
            <w:pPr>
              <w:keepNext/>
              <w:keepLines/>
              <w:spacing w:after="0" w:line="240" w:lineRule="auto"/>
            </w:pPr>
            <w:r>
              <w:rPr>
                <w:sz w:val="18"/>
              </w:rPr>
              <w:t>7</w:t>
            </w:r>
          </w:p>
        </w:tc>
        <w:tc>
          <w:tcPr>
            <w:tcW w:w="1860" w:type="dxa"/>
            <w:tcMar>
              <w:top w:w="0" w:type="dxa"/>
              <w:bottom w:w="0" w:type="dxa"/>
            </w:tcMar>
            <w:vAlign w:val="center"/>
          </w:tcPr>
          <w:p w:rsidR="000E6FBB" w:rsidRDefault="002B75C4">
            <w:pPr>
              <w:keepNext/>
              <w:keepLines/>
              <w:spacing w:after="0" w:line="240" w:lineRule="auto"/>
              <w:jc w:val="right"/>
            </w:pPr>
            <w:r>
              <w:rPr>
                <w:sz w:val="18"/>
              </w:rPr>
              <w:t>90.000,00</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0</w:t>
            </w:r>
          </w:p>
        </w:tc>
      </w:tr>
    </w:tbl>
    <w:p w:rsidR="000E6FBB" w:rsidRDefault="000E6FBB">
      <w:pPr>
        <w:spacing w:after="0"/>
      </w:pPr>
    </w:p>
    <w:p w:rsidR="000E6FBB" w:rsidRDefault="002B75C4">
      <w:r>
        <w:lastRenderedPageBreak/>
        <w:t xml:space="preserve">Prihodi </w:t>
      </w:r>
      <w:proofErr w:type="gramStart"/>
      <w:r>
        <w:t>od</w:t>
      </w:r>
      <w:proofErr w:type="gramEnd"/>
      <w:r>
        <w:t xml:space="preserve"> prodaje nefinancijske imovine (šifra 7) odnosili su su na lanjsku prodaju nekretnine u vlasništvu Fakulteta, prema ugovoru o kupoprodaji od 14.06.2024. </w:t>
      </w:r>
      <w:proofErr w:type="gramStart"/>
      <w:r>
        <w:t>god</w:t>
      </w:r>
      <w:proofErr w:type="gramEnd"/>
      <w:r>
        <w:t>.</w:t>
      </w:r>
    </w:p>
    <w:p w:rsidR="000E6FBB" w:rsidRDefault="000E6FBB"/>
    <w:p w:rsidR="000E6FBB" w:rsidRDefault="002B75C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4</w:t>
            </w:r>
          </w:p>
        </w:tc>
        <w:tc>
          <w:tcPr>
            <w:tcW w:w="3180" w:type="dxa"/>
            <w:tcMar>
              <w:top w:w="0" w:type="dxa"/>
              <w:bottom w:w="0" w:type="dxa"/>
            </w:tcMar>
            <w:vAlign w:val="center"/>
          </w:tcPr>
          <w:p w:rsidR="000E6FBB" w:rsidRDefault="002B75C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E6FBB" w:rsidRDefault="002B75C4">
            <w:pPr>
              <w:keepNext/>
              <w:keepLines/>
              <w:spacing w:after="0" w:line="240" w:lineRule="auto"/>
            </w:pPr>
            <w:r>
              <w:rPr>
                <w:sz w:val="18"/>
              </w:rPr>
              <w:t>4</w:t>
            </w:r>
          </w:p>
        </w:tc>
        <w:tc>
          <w:tcPr>
            <w:tcW w:w="1860" w:type="dxa"/>
            <w:tcMar>
              <w:top w:w="0" w:type="dxa"/>
              <w:bottom w:w="0" w:type="dxa"/>
            </w:tcMar>
            <w:vAlign w:val="center"/>
          </w:tcPr>
          <w:p w:rsidR="000E6FBB" w:rsidRDefault="002B75C4">
            <w:pPr>
              <w:keepNext/>
              <w:keepLines/>
              <w:spacing w:after="0" w:line="240" w:lineRule="auto"/>
              <w:jc w:val="right"/>
            </w:pPr>
            <w:r>
              <w:rPr>
                <w:sz w:val="18"/>
              </w:rPr>
              <w:t>470.788,69</w:t>
            </w:r>
          </w:p>
        </w:tc>
        <w:tc>
          <w:tcPr>
            <w:tcW w:w="1860" w:type="dxa"/>
            <w:tcMar>
              <w:top w:w="0" w:type="dxa"/>
              <w:bottom w:w="0" w:type="dxa"/>
            </w:tcMar>
            <w:vAlign w:val="center"/>
          </w:tcPr>
          <w:p w:rsidR="000E6FBB" w:rsidRDefault="002B75C4">
            <w:pPr>
              <w:keepNext/>
              <w:keepLines/>
              <w:spacing w:after="0" w:line="240" w:lineRule="auto"/>
              <w:jc w:val="right"/>
            </w:pPr>
            <w:r>
              <w:rPr>
                <w:sz w:val="18"/>
              </w:rPr>
              <w:t>395.208,44</w:t>
            </w:r>
          </w:p>
        </w:tc>
        <w:tc>
          <w:tcPr>
            <w:tcW w:w="700" w:type="dxa"/>
            <w:tcMar>
              <w:top w:w="0" w:type="dxa"/>
              <w:bottom w:w="0" w:type="dxa"/>
            </w:tcMar>
            <w:vAlign w:val="center"/>
          </w:tcPr>
          <w:p w:rsidR="000E6FBB" w:rsidRDefault="002B75C4">
            <w:pPr>
              <w:keepNext/>
              <w:keepLines/>
              <w:spacing w:after="0" w:line="240" w:lineRule="auto"/>
              <w:jc w:val="right"/>
            </w:pPr>
            <w:r>
              <w:rPr>
                <w:sz w:val="18"/>
              </w:rPr>
              <w:t>83,9</w:t>
            </w:r>
          </w:p>
        </w:tc>
      </w:tr>
    </w:tbl>
    <w:p w:rsidR="000E6FBB" w:rsidRDefault="000E6FBB">
      <w:pPr>
        <w:spacing w:after="0"/>
      </w:pPr>
    </w:p>
    <w:p w:rsidR="000E6FBB" w:rsidRDefault="002B75C4">
      <w:r>
        <w:t>Rashodi za nabavu nefinancijske imovine (šifra 4) iznosili su 395.208,44 eur, što je 16% manje u odnosu na prethodno razdoblje, a rezultat je manjih ulaganja u laboratorijsku opremu, nabavu uredskog namještaja, opreme za učionice i ulaganja u računalne pro</w:t>
      </w:r>
      <w:r>
        <w:t>grame nego što je to bilo prethodne godine.</w:t>
      </w:r>
    </w:p>
    <w:p w:rsidR="000E6FBB" w:rsidRDefault="000E6FBB"/>
    <w:p w:rsidR="000E6FBB" w:rsidRDefault="002B75C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9221-9222</w:t>
            </w:r>
          </w:p>
        </w:tc>
        <w:tc>
          <w:tcPr>
            <w:tcW w:w="3180" w:type="dxa"/>
            <w:tcMar>
              <w:top w:w="0" w:type="dxa"/>
              <w:bottom w:w="0" w:type="dxa"/>
            </w:tcMar>
            <w:vAlign w:val="center"/>
          </w:tcPr>
          <w:p w:rsidR="000E6FBB" w:rsidRDefault="002B75C4">
            <w:pPr>
              <w:keepNext/>
              <w:keepLines/>
              <w:spacing w:after="0" w:line="240" w:lineRule="auto"/>
            </w:pPr>
            <w:r>
              <w:rPr>
                <w:sz w:val="18"/>
              </w:rPr>
              <w:t>Višak prihoda i primitaka - preneseni</w:t>
            </w:r>
            <w:r>
              <w:rPr>
                <w:sz w:val="18"/>
              </w:rPr>
              <w:t xml:space="preserve"> (šifre '9221x,9222x VP' - '9221x,9222x MP' + 92213 - 92223)</w:t>
            </w:r>
          </w:p>
        </w:tc>
        <w:tc>
          <w:tcPr>
            <w:tcW w:w="700" w:type="dxa"/>
            <w:tcMar>
              <w:top w:w="0" w:type="dxa"/>
              <w:bottom w:w="0" w:type="dxa"/>
            </w:tcMar>
            <w:vAlign w:val="center"/>
          </w:tcPr>
          <w:p w:rsidR="000E6FBB" w:rsidRDefault="002B75C4">
            <w:pPr>
              <w:keepNext/>
              <w:keepLines/>
              <w:spacing w:after="0" w:line="240" w:lineRule="auto"/>
            </w:pPr>
            <w:r>
              <w:rPr>
                <w:sz w:val="18"/>
              </w:rPr>
              <w:t>9221-9222</w:t>
            </w:r>
          </w:p>
        </w:tc>
        <w:tc>
          <w:tcPr>
            <w:tcW w:w="1860" w:type="dxa"/>
            <w:tcMar>
              <w:top w:w="0" w:type="dxa"/>
              <w:bottom w:w="0" w:type="dxa"/>
            </w:tcMar>
            <w:vAlign w:val="center"/>
          </w:tcPr>
          <w:p w:rsidR="000E6FBB" w:rsidRDefault="002B75C4">
            <w:pPr>
              <w:keepNext/>
              <w:keepLines/>
              <w:spacing w:after="0" w:line="240" w:lineRule="auto"/>
              <w:jc w:val="right"/>
            </w:pPr>
            <w:r>
              <w:rPr>
                <w:sz w:val="18"/>
              </w:rPr>
              <w:t>2.555.076,42</w:t>
            </w:r>
          </w:p>
        </w:tc>
        <w:tc>
          <w:tcPr>
            <w:tcW w:w="1860" w:type="dxa"/>
            <w:tcMar>
              <w:top w:w="0" w:type="dxa"/>
              <w:bottom w:w="0" w:type="dxa"/>
            </w:tcMar>
            <w:vAlign w:val="center"/>
          </w:tcPr>
          <w:p w:rsidR="000E6FBB" w:rsidRDefault="002B75C4">
            <w:pPr>
              <w:keepNext/>
              <w:keepLines/>
              <w:spacing w:after="0" w:line="240" w:lineRule="auto"/>
              <w:jc w:val="right"/>
            </w:pPr>
            <w:r>
              <w:rPr>
                <w:sz w:val="18"/>
              </w:rPr>
              <w:t>2.276.713,45</w:t>
            </w:r>
          </w:p>
        </w:tc>
        <w:tc>
          <w:tcPr>
            <w:tcW w:w="700" w:type="dxa"/>
            <w:tcMar>
              <w:top w:w="0" w:type="dxa"/>
              <w:bottom w:w="0" w:type="dxa"/>
            </w:tcMar>
            <w:vAlign w:val="center"/>
          </w:tcPr>
          <w:p w:rsidR="000E6FBB" w:rsidRDefault="002B75C4">
            <w:pPr>
              <w:keepNext/>
              <w:keepLines/>
              <w:spacing w:after="0" w:line="240" w:lineRule="auto"/>
              <w:jc w:val="right"/>
            </w:pPr>
            <w:r>
              <w:rPr>
                <w:sz w:val="18"/>
              </w:rPr>
              <w:t>89,1</w:t>
            </w:r>
          </w:p>
        </w:tc>
      </w:tr>
    </w:tbl>
    <w:p w:rsidR="000E6FBB" w:rsidRDefault="000E6FBB">
      <w:pPr>
        <w:spacing w:after="0"/>
      </w:pPr>
    </w:p>
    <w:p w:rsidR="000E6FBB" w:rsidRDefault="002B75C4">
      <w:r>
        <w:t xml:space="preserve">Saldo viška prihoda poslovanja – preneseni iskazan je u Bilanci </w:t>
      </w:r>
      <w:proofErr w:type="gramStart"/>
      <w:r>
        <w:t>na</w:t>
      </w:r>
      <w:proofErr w:type="gramEnd"/>
      <w:r>
        <w:t xml:space="preserve"> dan 31.12.2024. </w:t>
      </w:r>
      <w:proofErr w:type="gramStart"/>
      <w:r>
        <w:t>godine</w:t>
      </w:r>
      <w:proofErr w:type="gramEnd"/>
      <w:r>
        <w:t xml:space="preserve"> na računu 92211 Višak prihoda poslovanja u iznosu 2.801.270,42 eur. Na računu 92222 Manjak prihoda </w:t>
      </w:r>
      <w:proofErr w:type="gramStart"/>
      <w:r>
        <w:t>od</w:t>
      </w:r>
      <w:proofErr w:type="gramEnd"/>
      <w:r>
        <w:t xml:space="preserve"> nefinancijske imovine iskazan je manjak 459.291,67 eur. Budući d</w:t>
      </w:r>
      <w:r>
        <w:t xml:space="preserve">a je tijekom 2024. </w:t>
      </w:r>
      <w:proofErr w:type="gramStart"/>
      <w:r>
        <w:t>godine</w:t>
      </w:r>
      <w:proofErr w:type="gramEnd"/>
      <w:r>
        <w:t xml:space="preserve"> prihodima poslovanja financirana nabava dugotrajne nefinancijske imovine, Odlukom o raspodjeli rezultata od 28.02.2025. </w:t>
      </w:r>
      <w:proofErr w:type="gramStart"/>
      <w:r>
        <w:t>umanjuje</w:t>
      </w:r>
      <w:proofErr w:type="gramEnd"/>
      <w:r>
        <w:t xml:space="preserve"> se višak prihoda poslovanja za iznos od 459.291,67 eur, a za isti iznos pokriva se manjak prihoda od </w:t>
      </w:r>
      <w:r>
        <w:t>nefinancijske imovine.</w:t>
      </w:r>
    </w:p>
    <w:p w:rsidR="000E6FBB" w:rsidRDefault="002B75C4">
      <w:r>
        <w:t xml:space="preserve">Tijekom 2025. </w:t>
      </w:r>
      <w:proofErr w:type="gramStart"/>
      <w:r>
        <w:t>godine</w:t>
      </w:r>
      <w:proofErr w:type="gramEnd"/>
      <w:r>
        <w:t xml:space="preserve"> izvršena je korekcija rezultata za 2024. </w:t>
      </w:r>
      <w:proofErr w:type="gramStart"/>
      <w:r>
        <w:t>god</w:t>
      </w:r>
      <w:proofErr w:type="gramEnd"/>
      <w:r>
        <w:t xml:space="preserve">. </w:t>
      </w:r>
      <w:proofErr w:type="gramStart"/>
      <w:r>
        <w:t>za</w:t>
      </w:r>
      <w:proofErr w:type="gramEnd"/>
      <w:r>
        <w:t xml:space="preserve"> 65.265,30 eur te se saldo viška prihoda poslovanja – preneseni iskazan u bilanci na dan 31.12.2024. </w:t>
      </w:r>
      <w:proofErr w:type="gramStart"/>
      <w:r>
        <w:t>na</w:t>
      </w:r>
      <w:proofErr w:type="gramEnd"/>
      <w:r>
        <w:t xml:space="preserve"> računu 92211 Višak prihoda poslovanja umanjio za isti iznos.</w:t>
      </w:r>
      <w:r>
        <w:t xml:space="preserve"> Pojedinačni iznosi korekcije odnose se kako slijedi:</w:t>
      </w:r>
    </w:p>
    <w:p w:rsidR="000E6FBB" w:rsidRDefault="002B75C4">
      <w:r>
        <w:lastRenderedPageBreak/>
        <w:t>1) zbog promjene metodologije priznavanja EU prihoda i rashoda, prema Okružnici Ministarstva financija o sastavljanju financijskih izvještaja proračunskih korisnika za I-XII.2025., a s ciljem što realni</w:t>
      </w:r>
      <w:r>
        <w:t xml:space="preserve">jeg iskazivanja rezultata poslovanja, korigira se utvrđeni rezultat za 2024. </w:t>
      </w:r>
      <w:proofErr w:type="gramStart"/>
      <w:r>
        <w:t>godinu</w:t>
      </w:r>
      <w:proofErr w:type="gramEnd"/>
      <w:r>
        <w:t xml:space="preserve"> koji je prenesen u 2025. </w:t>
      </w:r>
      <w:proofErr w:type="gramStart"/>
      <w:r>
        <w:t>za</w:t>
      </w:r>
      <w:proofErr w:type="gramEnd"/>
      <w:r>
        <w:t xml:space="preserve"> projekt “Nova generacija višejezgrenih digitalnih sustava upravljanja za nisko i srednjenaponske elektoničke energetske pretvarače NPOO.C3.2.R3-</w:t>
      </w:r>
      <w:r>
        <w:t xml:space="preserve">I1.02.0032”, Mehanizam za oporavak i otpornost; umanjuje se višak prihoda poslovanja utvrđenog na kraju 2024. </w:t>
      </w:r>
      <w:proofErr w:type="gramStart"/>
      <w:r>
        <w:t>god</w:t>
      </w:r>
      <w:proofErr w:type="gramEnd"/>
      <w:r>
        <w:t xml:space="preserve">. </w:t>
      </w:r>
      <w:proofErr w:type="gramStart"/>
      <w:r>
        <w:t>u</w:t>
      </w:r>
      <w:proofErr w:type="gramEnd"/>
      <w:r>
        <w:t xml:space="preserve"> iznosu 35.772,31 eur i prenosi na obvezu za EU predujmove dane iz državnog proračuna;</w:t>
      </w:r>
    </w:p>
    <w:p w:rsidR="000E6FBB" w:rsidRDefault="002B75C4">
      <w:r>
        <w:t>2) višak prihoda poslovanja umanjuje se za iznos ukup</w:t>
      </w:r>
      <w:r>
        <w:t>nog povrata neutrošenih sredstava bilateralnog znanstveno-istraživačkog hrvatsko-slovenskog projekta 836,90 EUR, na račun Državnog proračuna RH, a sve vezano uz Odluku o sufinanciranju prve godine međunarodnog znanstveno-istraživačkog projekta „Pohrana i v</w:t>
      </w:r>
      <w:r>
        <w:t>izualizacija optičkih biomedicinskih podataka“, čiji je voditelj red. prof. dr. sc. Sandi Ljubić;</w:t>
      </w:r>
    </w:p>
    <w:p w:rsidR="000E6FBB" w:rsidRDefault="002B75C4">
      <w:r>
        <w:t>3) višak prihoda poslovanja umanjuje se za iznos povrata neutrošenih sredstava za projekt „Introduction of joint short-cycle ICT courses for better employabil</w:t>
      </w:r>
      <w:r>
        <w:t>ity of students and graduates (Erasmus+ WICT</w:t>
      </w:r>
      <w:proofErr w:type="gramStart"/>
      <w:r>
        <w:t>)“</w:t>
      </w:r>
      <w:proofErr w:type="gramEnd"/>
      <w:r>
        <w:t xml:space="preserve">, referentni broj 2021-1-HR01-KA220-HED-000031177, čiji je voditelj prof. dr. sc. Zlatan Car, ukupno 15.332,20 EUR, na račun Sveučilišta u Rijeci (koje je dužno ista sredstva proslijediti Agenciji za mobilnost </w:t>
      </w:r>
      <w:r>
        <w:t>i programe Europske unije sukladno Sporazumu o provedbi Erasmus+ WICT projekta);</w:t>
      </w:r>
    </w:p>
    <w:p w:rsidR="000E6FBB" w:rsidRDefault="002B75C4">
      <w:r>
        <w:t xml:space="preserve">4) višak prihoda poslovanja umanjuje se za iznos povrata neutrošenih sredstava projekta IP-2020-02-3770 „Strojno učenje za prijenos znanja u medicinskoj radiologiji“, čiji je </w:t>
      </w:r>
      <w:r>
        <w:t>voditelj prof. dr. sc. Ivan Štajduhar, financiranog u okviru programa „Istraživački projekti“, rok 2020-02, ukupno 2.056,73 EUR, na račun Državnog proračuna R Hrvatske;</w:t>
      </w:r>
    </w:p>
    <w:p w:rsidR="000E6FBB" w:rsidRDefault="002B75C4">
      <w:r>
        <w:t>5) višak prihoda poslovanja umanjuje se za iznos povrata neutrošenih sredstava projekta</w:t>
      </w:r>
      <w:r>
        <w:t xml:space="preserve"> IP-2020-02-5764 „Razvoj modela za procjenu ponašanja materijala temeljenih na strojnom učenju“, čiji je voditelj prof. dr. sc. Robert Basan, financiranog u okviru programa „Istraživački projekti“, rok 2020-02, ukupno 17,16 EUR, na račun Državnog proračuna</w:t>
      </w:r>
      <w:r>
        <w:t xml:space="preserve"> R Hrvatske;</w:t>
      </w:r>
    </w:p>
    <w:p w:rsidR="000E6FBB" w:rsidRDefault="002B75C4">
      <w:r>
        <w:t>6) Višak prihoda poslovanja umanjuje se za iznos povrata neutrošenih sredstava programa strateških mikrokvalifikacija UNIRI CLASS, projekt Dekarbonizacija i vodikova tehnologija, čiji je voditelj prof. dr. sc. Alfredo Višković, ukupno 6.250,00</w:t>
      </w:r>
      <w:r>
        <w:t xml:space="preserve"> EUR, </w:t>
      </w:r>
      <w:proofErr w:type="gramStart"/>
      <w:r>
        <w:t>na</w:t>
      </w:r>
      <w:proofErr w:type="gramEnd"/>
      <w:r>
        <w:t xml:space="preserve"> račun Sveučilišta u Rijeci;</w:t>
      </w:r>
    </w:p>
    <w:p w:rsidR="000E6FBB" w:rsidRDefault="002B75C4">
      <w:r>
        <w:t>7) Višak prihoda poslovanja umanjuje se za iznos povrata neutrošenih sredstava UniRi projekta šifra: „uniri-mladi-tehnic-23-61“, „Napredni polimerni materijali: Priprava, svojstva i primjena“, čiji je voditelj Andrej Bo</w:t>
      </w:r>
      <w:r>
        <w:t xml:space="preserve">rić, ukupno 5.000,00 EUR, </w:t>
      </w:r>
      <w:proofErr w:type="gramStart"/>
      <w:r>
        <w:t>na</w:t>
      </w:r>
      <w:proofErr w:type="gramEnd"/>
      <w:r>
        <w:t xml:space="preserve"> račun Sveučilišta u Rijeci.</w:t>
      </w:r>
    </w:p>
    <w:p w:rsidR="000E6FBB" w:rsidRDefault="000E6FBB"/>
    <w:p w:rsidR="000E6FBB" w:rsidRDefault="002B75C4">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 xml:space="preserve">Višak prihoda i primitaka </w:t>
            </w:r>
            <w:r>
              <w:rPr>
                <w:sz w:val="18"/>
              </w:rPr>
              <w:t>raspoloživ u sljedećem razdoblju (šifre X005 + '9221-9222' - Y005 - '9222-9221')</w:t>
            </w:r>
          </w:p>
        </w:tc>
        <w:tc>
          <w:tcPr>
            <w:tcW w:w="700" w:type="dxa"/>
            <w:tcMar>
              <w:top w:w="0" w:type="dxa"/>
              <w:bottom w:w="0" w:type="dxa"/>
            </w:tcMar>
            <w:vAlign w:val="center"/>
          </w:tcPr>
          <w:p w:rsidR="000E6FBB" w:rsidRDefault="002B75C4">
            <w:pPr>
              <w:keepNext/>
              <w:keepLines/>
              <w:spacing w:after="0" w:line="240" w:lineRule="auto"/>
            </w:pPr>
            <w:r>
              <w:rPr>
                <w:sz w:val="18"/>
              </w:rPr>
              <w:t>X006</w:t>
            </w:r>
          </w:p>
        </w:tc>
        <w:tc>
          <w:tcPr>
            <w:tcW w:w="1860" w:type="dxa"/>
            <w:tcMar>
              <w:top w:w="0" w:type="dxa"/>
              <w:bottom w:w="0" w:type="dxa"/>
            </w:tcMar>
            <w:vAlign w:val="center"/>
          </w:tcPr>
          <w:p w:rsidR="000E6FBB" w:rsidRDefault="002B75C4">
            <w:pPr>
              <w:keepNext/>
              <w:keepLines/>
              <w:spacing w:after="0" w:line="240" w:lineRule="auto"/>
              <w:jc w:val="right"/>
            </w:pPr>
            <w:r>
              <w:rPr>
                <w:sz w:val="18"/>
              </w:rPr>
              <w:t>2.341.978,75</w:t>
            </w:r>
          </w:p>
        </w:tc>
        <w:tc>
          <w:tcPr>
            <w:tcW w:w="1860" w:type="dxa"/>
            <w:tcMar>
              <w:top w:w="0" w:type="dxa"/>
              <w:bottom w:w="0" w:type="dxa"/>
            </w:tcMar>
            <w:vAlign w:val="center"/>
          </w:tcPr>
          <w:p w:rsidR="000E6FBB" w:rsidRDefault="002B75C4">
            <w:pPr>
              <w:keepNext/>
              <w:keepLines/>
              <w:spacing w:after="0" w:line="240" w:lineRule="auto"/>
              <w:jc w:val="right"/>
            </w:pPr>
            <w:r>
              <w:rPr>
                <w:sz w:val="18"/>
              </w:rPr>
              <w:t>1.270.952,53</w:t>
            </w:r>
          </w:p>
        </w:tc>
        <w:tc>
          <w:tcPr>
            <w:tcW w:w="700" w:type="dxa"/>
            <w:tcMar>
              <w:top w:w="0" w:type="dxa"/>
              <w:bottom w:w="0" w:type="dxa"/>
            </w:tcMar>
            <w:vAlign w:val="center"/>
          </w:tcPr>
          <w:p w:rsidR="000E6FBB" w:rsidRDefault="002B75C4">
            <w:pPr>
              <w:keepNext/>
              <w:keepLines/>
              <w:spacing w:after="0" w:line="240" w:lineRule="auto"/>
              <w:jc w:val="right"/>
            </w:pPr>
            <w:r>
              <w:rPr>
                <w:sz w:val="18"/>
              </w:rPr>
              <w:t>54,3</w:t>
            </w:r>
          </w:p>
        </w:tc>
      </w:tr>
    </w:tbl>
    <w:p w:rsidR="000E6FBB" w:rsidRDefault="000E6FBB">
      <w:pPr>
        <w:spacing w:after="0"/>
      </w:pPr>
    </w:p>
    <w:p w:rsidR="000E6FBB" w:rsidRDefault="002B75C4">
      <w:r>
        <w:t xml:space="preserve">Manjak poslovanja </w:t>
      </w:r>
      <w:proofErr w:type="gramStart"/>
      <w:r>
        <w:t>na</w:t>
      </w:r>
      <w:proofErr w:type="gramEnd"/>
      <w:r>
        <w:t xml:space="preserve"> izvoru financiranja 11 – Opći prihodi i primici, posljedica je “metodološkog manjka” i pokrit će se prihodima iz drž</w:t>
      </w:r>
      <w:r>
        <w:t xml:space="preserve">avnog proračuna doznačenim u siječnju 2026. </w:t>
      </w:r>
      <w:proofErr w:type="gramStart"/>
      <w:r>
        <w:t>godine</w:t>
      </w:r>
      <w:proofErr w:type="gramEnd"/>
      <w:r>
        <w:t xml:space="preserve">. Zbog iskazanog tekućeg manjka 2025. </w:t>
      </w:r>
      <w:proofErr w:type="gramStart"/>
      <w:r>
        <w:t>godine</w:t>
      </w:r>
      <w:proofErr w:type="gramEnd"/>
      <w:r>
        <w:t>, smanjen je i ukupni višak prihoda i primitaka raspoloživ u sljedećem razdoblju (šifra X006) za 46% u odnosu na isto razdoblje prethodne godine.    </w:t>
      </w:r>
    </w:p>
    <w:p w:rsidR="000E6FBB" w:rsidRDefault="002B75C4">
      <w:r>
        <w:t>U ukupnom vi</w:t>
      </w:r>
      <w:r>
        <w:t>šku raspoloživom u sljedećem razdoblju je primjerice sadržan višak prihoda za projekte Hrvatske zaklade za znanost, zatim višak prihoda za institucionalne istraživačke projekte Sveučilišta u Rijeci, višak namjenskih prihoda od školarina, višak prihoda ostv</w:t>
      </w:r>
      <w:r>
        <w:t>aren temeljem prijenosa između proračunskih korisnika istog proračuna za EU projekte, kao i višak za stručne projekte i sl.  </w:t>
      </w:r>
    </w:p>
    <w:p w:rsidR="000E6FBB" w:rsidRDefault="000E6FBB"/>
    <w:p w:rsidR="000E6FBB" w:rsidRDefault="002B75C4">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19</w:t>
            </w:r>
          </w:p>
        </w:tc>
        <w:tc>
          <w:tcPr>
            <w:tcW w:w="3180" w:type="dxa"/>
            <w:tcMar>
              <w:top w:w="0" w:type="dxa"/>
              <w:bottom w:w="0" w:type="dxa"/>
            </w:tcMar>
            <w:vAlign w:val="center"/>
          </w:tcPr>
          <w:p w:rsidR="000E6FBB" w:rsidRDefault="002B75C4">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0E6FBB" w:rsidRDefault="002B75C4">
            <w:pPr>
              <w:keepNext/>
              <w:keepLines/>
              <w:spacing w:after="0" w:line="240" w:lineRule="auto"/>
            </w:pPr>
            <w:r>
              <w:rPr>
                <w:sz w:val="18"/>
              </w:rPr>
              <w:t>19</w:t>
            </w:r>
          </w:p>
        </w:tc>
        <w:tc>
          <w:tcPr>
            <w:tcW w:w="1860" w:type="dxa"/>
            <w:tcMar>
              <w:top w:w="0" w:type="dxa"/>
              <w:bottom w:w="0" w:type="dxa"/>
            </w:tcMar>
            <w:vAlign w:val="center"/>
          </w:tcPr>
          <w:p w:rsidR="000E6FBB" w:rsidRDefault="002B75C4">
            <w:pPr>
              <w:keepNext/>
              <w:keepLines/>
              <w:spacing w:after="0" w:line="240" w:lineRule="auto"/>
              <w:jc w:val="right"/>
            </w:pPr>
            <w:r>
              <w:rPr>
                <w:sz w:val="18"/>
              </w:rPr>
              <w:t>680.141,49</w:t>
            </w:r>
          </w:p>
        </w:tc>
        <w:tc>
          <w:tcPr>
            <w:tcW w:w="1860" w:type="dxa"/>
            <w:tcMar>
              <w:top w:w="0" w:type="dxa"/>
              <w:bottom w:w="0" w:type="dxa"/>
            </w:tcMar>
            <w:vAlign w:val="center"/>
          </w:tcPr>
          <w:p w:rsidR="000E6FBB" w:rsidRDefault="002B75C4">
            <w:pPr>
              <w:keepNext/>
              <w:keepLines/>
              <w:spacing w:after="0" w:line="240" w:lineRule="auto"/>
              <w:jc w:val="right"/>
            </w:pPr>
            <w:r>
              <w:rPr>
                <w:sz w:val="18"/>
              </w:rPr>
              <w:t>40,01</w:t>
            </w:r>
          </w:p>
        </w:tc>
        <w:tc>
          <w:tcPr>
            <w:tcW w:w="700" w:type="dxa"/>
            <w:tcMar>
              <w:top w:w="0" w:type="dxa"/>
              <w:bottom w:w="0" w:type="dxa"/>
            </w:tcMar>
            <w:vAlign w:val="center"/>
          </w:tcPr>
          <w:p w:rsidR="000E6FBB" w:rsidRDefault="002B75C4">
            <w:pPr>
              <w:keepNext/>
              <w:keepLines/>
              <w:spacing w:after="0" w:line="240" w:lineRule="auto"/>
              <w:jc w:val="right"/>
            </w:pPr>
            <w:r>
              <w:rPr>
                <w:sz w:val="18"/>
              </w:rPr>
              <w:t>0,0</w:t>
            </w:r>
          </w:p>
        </w:tc>
      </w:tr>
    </w:tbl>
    <w:p w:rsidR="000E6FBB" w:rsidRDefault="000E6FBB">
      <w:pPr>
        <w:spacing w:after="0"/>
      </w:pPr>
    </w:p>
    <w:p w:rsidR="000E6FBB" w:rsidRDefault="002B75C4">
      <w:r>
        <w:t xml:space="preserve">Na šifri 19 je zbog ukidanja skupine 193 – Kontinuirani rashodi budućih razdoblja s danom 01.01.2025. </w:t>
      </w:r>
      <w:proofErr w:type="gramStart"/>
      <w:r>
        <w:t>god</w:t>
      </w:r>
      <w:proofErr w:type="gramEnd"/>
      <w:r>
        <w:t xml:space="preserve">. </w:t>
      </w:r>
      <w:proofErr w:type="gramStart"/>
      <w:r>
        <w:t>došlo</w:t>
      </w:r>
      <w:proofErr w:type="gramEnd"/>
      <w:r>
        <w:t xml:space="preserve"> je do velikog odstupanja u odnosu na prethodno promatrano razdoblje. Učinak čl. 233. </w:t>
      </w:r>
      <w:proofErr w:type="gramStart"/>
      <w:r>
        <w:t>novog</w:t>
      </w:r>
      <w:proofErr w:type="gramEnd"/>
      <w:r>
        <w:t xml:space="preserve"> Pravilnika o izmjenama i dopunama Pravilnika o prora</w:t>
      </w:r>
      <w:r>
        <w:t xml:space="preserve">čunskom računovodstvu i računskom planu rezultirao je potrebom evidentiranja 13. </w:t>
      </w:r>
      <w:proofErr w:type="gramStart"/>
      <w:r>
        <w:t>rashoda</w:t>
      </w:r>
      <w:proofErr w:type="gramEnd"/>
      <w:r>
        <w:t xml:space="preserve"> za plaće u 2025. </w:t>
      </w:r>
      <w:proofErr w:type="gramStart"/>
      <w:r>
        <w:t>godini</w:t>
      </w:r>
      <w:proofErr w:type="gramEnd"/>
      <w:r>
        <w:t xml:space="preserve">. Dakle, rashodi za plaće za 12. </w:t>
      </w:r>
      <w:proofErr w:type="gramStart"/>
      <w:r>
        <w:t>mjesec</w:t>
      </w:r>
      <w:proofErr w:type="gramEnd"/>
      <w:r>
        <w:t xml:space="preserve"> 2024. </w:t>
      </w:r>
      <w:proofErr w:type="gramStart"/>
      <w:r>
        <w:t>evidentirane</w:t>
      </w:r>
      <w:proofErr w:type="gramEnd"/>
      <w:r>
        <w:t xml:space="preserve"> zaduženjem odgovarajućih osnovnih računa podskupine 193 na 31.12.2024., u siječnju 20</w:t>
      </w:r>
      <w:r>
        <w:t xml:space="preserve">25. </w:t>
      </w:r>
      <w:proofErr w:type="gramStart"/>
      <w:r>
        <w:t>godine</w:t>
      </w:r>
      <w:proofErr w:type="gramEnd"/>
      <w:r>
        <w:t xml:space="preserve"> zatvaraju se na podskupini 193 te terete odgovarajuće račune u razredu 3 - Rashodi poslovanja.   Na skupini 191 –Rashodi budućih razdoblja evidentirana je unaprijed plaćena godišnja karta za javni prijevoz zaposlenika </w:t>
      </w:r>
      <w:proofErr w:type="gramStart"/>
      <w:r>
        <w:t>na</w:t>
      </w:r>
      <w:proofErr w:type="gramEnd"/>
      <w:r>
        <w:t xml:space="preserve"> posao i s posla.</w:t>
      </w:r>
    </w:p>
    <w:p w:rsidR="000E6FBB" w:rsidRDefault="000E6FBB"/>
    <w:p w:rsidR="000E6FBB" w:rsidRDefault="002B75C4">
      <w:pPr>
        <w:keepNext/>
        <w:spacing w:line="240" w:lineRule="auto"/>
        <w:jc w:val="center"/>
      </w:pPr>
      <w:r>
        <w:rPr>
          <w:sz w:val="28"/>
        </w:rPr>
        <w:lastRenderedPageBreak/>
        <w:t>Bilješ</w:t>
      </w:r>
      <w:r>
        <w:rPr>
          <w:sz w:val="28"/>
        </w:rPr>
        <w:t>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 xml:space="preserve">Prosječan broj zaposlenih kod korisnika na osnovi stanja na početku i na kraju izvještajnog </w:t>
            </w:r>
            <w:r>
              <w:rPr>
                <w:sz w:val="18"/>
              </w:rPr>
              <w:t>razdoblja (cijeli broj)</w:t>
            </w:r>
          </w:p>
        </w:tc>
        <w:tc>
          <w:tcPr>
            <w:tcW w:w="700" w:type="dxa"/>
            <w:tcMar>
              <w:top w:w="0" w:type="dxa"/>
              <w:bottom w:w="0" w:type="dxa"/>
            </w:tcMar>
            <w:vAlign w:val="center"/>
          </w:tcPr>
          <w:p w:rsidR="000E6FBB" w:rsidRDefault="002B75C4">
            <w:pPr>
              <w:keepNext/>
              <w:keepLines/>
              <w:spacing w:after="0" w:line="240" w:lineRule="auto"/>
            </w:pPr>
            <w:r>
              <w:rPr>
                <w:sz w:val="18"/>
              </w:rPr>
              <w:t>Z007</w:t>
            </w:r>
          </w:p>
        </w:tc>
        <w:tc>
          <w:tcPr>
            <w:tcW w:w="1860" w:type="dxa"/>
            <w:tcMar>
              <w:top w:w="0" w:type="dxa"/>
              <w:bottom w:w="0" w:type="dxa"/>
            </w:tcMar>
            <w:vAlign w:val="center"/>
          </w:tcPr>
          <w:p w:rsidR="000E6FBB" w:rsidRDefault="002B75C4">
            <w:pPr>
              <w:keepNext/>
              <w:keepLines/>
              <w:spacing w:after="0" w:line="240" w:lineRule="auto"/>
              <w:jc w:val="right"/>
            </w:pPr>
            <w:r>
              <w:rPr>
                <w:sz w:val="18"/>
              </w:rPr>
              <w:t>198,00</w:t>
            </w:r>
          </w:p>
        </w:tc>
        <w:tc>
          <w:tcPr>
            <w:tcW w:w="1860" w:type="dxa"/>
            <w:tcMar>
              <w:top w:w="0" w:type="dxa"/>
              <w:bottom w:w="0" w:type="dxa"/>
            </w:tcMar>
            <w:vAlign w:val="center"/>
          </w:tcPr>
          <w:p w:rsidR="000E6FBB" w:rsidRDefault="002B75C4">
            <w:pPr>
              <w:keepNext/>
              <w:keepLines/>
              <w:spacing w:after="0" w:line="240" w:lineRule="auto"/>
              <w:jc w:val="right"/>
            </w:pPr>
            <w:r>
              <w:rPr>
                <w:sz w:val="18"/>
              </w:rPr>
              <w:t>204,00</w:t>
            </w:r>
          </w:p>
        </w:tc>
        <w:tc>
          <w:tcPr>
            <w:tcW w:w="700" w:type="dxa"/>
            <w:tcMar>
              <w:top w:w="0" w:type="dxa"/>
              <w:bottom w:w="0" w:type="dxa"/>
            </w:tcMar>
            <w:vAlign w:val="center"/>
          </w:tcPr>
          <w:p w:rsidR="000E6FBB" w:rsidRDefault="002B75C4">
            <w:pPr>
              <w:keepNext/>
              <w:keepLines/>
              <w:spacing w:after="0" w:line="240" w:lineRule="auto"/>
              <w:jc w:val="right"/>
            </w:pPr>
            <w:r>
              <w:rPr>
                <w:sz w:val="18"/>
              </w:rPr>
              <w:t>103,0</w:t>
            </w:r>
          </w:p>
        </w:tc>
      </w:tr>
    </w:tbl>
    <w:p w:rsidR="000E6FBB" w:rsidRDefault="000E6FBB">
      <w:pPr>
        <w:spacing w:after="0"/>
      </w:pPr>
    </w:p>
    <w:p w:rsidR="000E6FBB" w:rsidRDefault="002B75C4">
      <w:r>
        <w:t>Na dan 31.12.2025. Fakultet zapošljava 205 zaposlenika, od čega ih je 86 u znanstveno-nastavnim, 6 u nastavnim i 52 u suradničkim zvanjima, 9 je zaposlenika na projektima Hrvatske zaklade za znanost, a 45 je djelatnika u administrativnim i stručnim službam</w:t>
      </w:r>
      <w:r>
        <w:t>a. Na EU projektima zaposleno je 7 djelatnika. </w:t>
      </w:r>
    </w:p>
    <w:p w:rsidR="000E6FBB" w:rsidRDefault="000E6FBB"/>
    <w:p w:rsidR="000E6FBB" w:rsidRDefault="002B75C4">
      <w:pPr>
        <w:keepNext/>
        <w:spacing w:line="240" w:lineRule="auto"/>
        <w:jc w:val="center"/>
      </w:pPr>
      <w:r>
        <w:rPr>
          <w:b/>
          <w:sz w:val="28"/>
        </w:rPr>
        <w:t>Bilanca</w:t>
      </w:r>
    </w:p>
    <w:p w:rsidR="000E6FBB" w:rsidRDefault="002B75C4">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IMOVINA (šifre B002+1)</w:t>
            </w:r>
          </w:p>
        </w:tc>
        <w:tc>
          <w:tcPr>
            <w:tcW w:w="700" w:type="dxa"/>
            <w:tcMar>
              <w:top w:w="0" w:type="dxa"/>
              <w:bottom w:w="0" w:type="dxa"/>
            </w:tcMar>
            <w:vAlign w:val="center"/>
          </w:tcPr>
          <w:p w:rsidR="000E6FBB" w:rsidRDefault="002B75C4">
            <w:pPr>
              <w:keepNext/>
              <w:keepLines/>
              <w:spacing w:after="0" w:line="240" w:lineRule="auto"/>
            </w:pPr>
            <w:r>
              <w:rPr>
                <w:sz w:val="18"/>
              </w:rPr>
              <w:t>B001</w:t>
            </w:r>
          </w:p>
        </w:tc>
        <w:tc>
          <w:tcPr>
            <w:tcW w:w="1860" w:type="dxa"/>
            <w:tcMar>
              <w:top w:w="0" w:type="dxa"/>
              <w:bottom w:w="0" w:type="dxa"/>
            </w:tcMar>
            <w:vAlign w:val="center"/>
          </w:tcPr>
          <w:p w:rsidR="000E6FBB" w:rsidRDefault="002B75C4">
            <w:pPr>
              <w:keepNext/>
              <w:keepLines/>
              <w:spacing w:after="0" w:line="240" w:lineRule="auto"/>
              <w:jc w:val="right"/>
            </w:pPr>
            <w:r>
              <w:rPr>
                <w:sz w:val="18"/>
              </w:rPr>
              <w:t>8.670.403,42</w:t>
            </w:r>
          </w:p>
        </w:tc>
        <w:tc>
          <w:tcPr>
            <w:tcW w:w="1860" w:type="dxa"/>
            <w:tcMar>
              <w:top w:w="0" w:type="dxa"/>
              <w:bottom w:w="0" w:type="dxa"/>
            </w:tcMar>
            <w:vAlign w:val="center"/>
          </w:tcPr>
          <w:p w:rsidR="000E6FBB" w:rsidRDefault="002B75C4">
            <w:pPr>
              <w:keepNext/>
              <w:keepLines/>
              <w:spacing w:after="0" w:line="240" w:lineRule="auto"/>
              <w:jc w:val="right"/>
            </w:pPr>
            <w:r>
              <w:rPr>
                <w:sz w:val="18"/>
              </w:rPr>
              <w:t>7.520.213,77</w:t>
            </w:r>
          </w:p>
        </w:tc>
        <w:tc>
          <w:tcPr>
            <w:tcW w:w="700" w:type="dxa"/>
            <w:tcMar>
              <w:top w:w="0" w:type="dxa"/>
              <w:bottom w:w="0" w:type="dxa"/>
            </w:tcMar>
            <w:vAlign w:val="center"/>
          </w:tcPr>
          <w:p w:rsidR="000E6FBB" w:rsidRDefault="002B75C4">
            <w:pPr>
              <w:keepNext/>
              <w:keepLines/>
              <w:spacing w:after="0" w:line="240" w:lineRule="auto"/>
              <w:jc w:val="right"/>
            </w:pPr>
            <w:r>
              <w:rPr>
                <w:sz w:val="18"/>
              </w:rPr>
              <w:t>86,7</w:t>
            </w:r>
          </w:p>
        </w:tc>
      </w:tr>
    </w:tbl>
    <w:p w:rsidR="000E6FBB" w:rsidRDefault="000E6FBB">
      <w:pPr>
        <w:spacing w:after="0"/>
      </w:pPr>
    </w:p>
    <w:p w:rsidR="000E6FBB" w:rsidRDefault="002B75C4">
      <w:r>
        <w:t xml:space="preserve">Vrijednost imovine Tehničkog fakulteta </w:t>
      </w:r>
      <w:proofErr w:type="gramStart"/>
      <w:r>
        <w:t>na</w:t>
      </w:r>
      <w:proofErr w:type="gramEnd"/>
      <w:r>
        <w:t xml:space="preserve"> dan 31.12.2025. </w:t>
      </w:r>
      <w:proofErr w:type="gramStart"/>
      <w:r>
        <w:t>godine</w:t>
      </w:r>
      <w:proofErr w:type="gramEnd"/>
      <w:r>
        <w:t xml:space="preserve"> iznosi 7.520.213,77 eur (šifra B001) što je za 13% manje u odnosu na prethodnu godinu. Od toga vrijednost nefinancijske imovine (šifra B002), iznosi 4.985.339</w:t>
      </w:r>
      <w:proofErr w:type="gramStart"/>
      <w:r>
        <w:t>,10</w:t>
      </w:r>
      <w:proofErr w:type="gramEnd"/>
      <w:r>
        <w:t xml:space="preserve"> eur, a vrijednost financijske</w:t>
      </w:r>
      <w:r>
        <w:t xml:space="preserve"> imovine (šifra 1) je 2.534.874,67 eur. </w:t>
      </w:r>
    </w:p>
    <w:p w:rsidR="000E6FBB" w:rsidRDefault="000E6FBB"/>
    <w:p w:rsidR="000E6FBB" w:rsidRDefault="002B75C4">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01</w:t>
            </w:r>
          </w:p>
        </w:tc>
        <w:tc>
          <w:tcPr>
            <w:tcW w:w="3180" w:type="dxa"/>
            <w:tcMar>
              <w:top w:w="0" w:type="dxa"/>
              <w:bottom w:w="0" w:type="dxa"/>
            </w:tcMar>
            <w:vAlign w:val="center"/>
          </w:tcPr>
          <w:p w:rsidR="000E6FBB" w:rsidRDefault="002B75C4">
            <w:pPr>
              <w:keepNext/>
              <w:keepLines/>
              <w:spacing w:after="0" w:line="240" w:lineRule="auto"/>
            </w:pPr>
            <w:r>
              <w:rPr>
                <w:sz w:val="18"/>
              </w:rPr>
              <w:t>Neproizvedena dugotrajna imovina (šifre 011+012-019)</w:t>
            </w:r>
          </w:p>
        </w:tc>
        <w:tc>
          <w:tcPr>
            <w:tcW w:w="700" w:type="dxa"/>
            <w:tcMar>
              <w:top w:w="0" w:type="dxa"/>
              <w:bottom w:w="0" w:type="dxa"/>
            </w:tcMar>
            <w:vAlign w:val="center"/>
          </w:tcPr>
          <w:p w:rsidR="000E6FBB" w:rsidRDefault="002B75C4">
            <w:pPr>
              <w:keepNext/>
              <w:keepLines/>
              <w:spacing w:after="0" w:line="240" w:lineRule="auto"/>
            </w:pPr>
            <w:r>
              <w:rPr>
                <w:sz w:val="18"/>
              </w:rPr>
              <w:t>01</w:t>
            </w:r>
          </w:p>
        </w:tc>
        <w:tc>
          <w:tcPr>
            <w:tcW w:w="1860" w:type="dxa"/>
            <w:tcMar>
              <w:top w:w="0" w:type="dxa"/>
              <w:bottom w:w="0" w:type="dxa"/>
            </w:tcMar>
            <w:vAlign w:val="center"/>
          </w:tcPr>
          <w:p w:rsidR="000E6FBB" w:rsidRDefault="002B75C4">
            <w:pPr>
              <w:keepNext/>
              <w:keepLines/>
              <w:spacing w:after="0" w:line="240" w:lineRule="auto"/>
              <w:jc w:val="right"/>
            </w:pPr>
            <w:r>
              <w:rPr>
                <w:sz w:val="18"/>
              </w:rPr>
              <w:t>227.855,00</w:t>
            </w:r>
          </w:p>
        </w:tc>
        <w:tc>
          <w:tcPr>
            <w:tcW w:w="1860" w:type="dxa"/>
            <w:tcMar>
              <w:top w:w="0" w:type="dxa"/>
              <w:bottom w:w="0" w:type="dxa"/>
            </w:tcMar>
            <w:vAlign w:val="center"/>
          </w:tcPr>
          <w:p w:rsidR="000E6FBB" w:rsidRDefault="002B75C4">
            <w:pPr>
              <w:keepNext/>
              <w:keepLines/>
              <w:spacing w:after="0" w:line="240" w:lineRule="auto"/>
              <w:jc w:val="right"/>
            </w:pPr>
            <w:r>
              <w:rPr>
                <w:sz w:val="18"/>
              </w:rPr>
              <w:t>210.811,53</w:t>
            </w:r>
          </w:p>
        </w:tc>
        <w:tc>
          <w:tcPr>
            <w:tcW w:w="700" w:type="dxa"/>
            <w:tcMar>
              <w:top w:w="0" w:type="dxa"/>
              <w:bottom w:w="0" w:type="dxa"/>
            </w:tcMar>
            <w:vAlign w:val="center"/>
          </w:tcPr>
          <w:p w:rsidR="000E6FBB" w:rsidRDefault="002B75C4">
            <w:pPr>
              <w:keepNext/>
              <w:keepLines/>
              <w:spacing w:after="0" w:line="240" w:lineRule="auto"/>
              <w:jc w:val="right"/>
            </w:pPr>
            <w:r>
              <w:rPr>
                <w:sz w:val="18"/>
              </w:rPr>
              <w:t>92,5</w:t>
            </w:r>
          </w:p>
        </w:tc>
      </w:tr>
    </w:tbl>
    <w:p w:rsidR="000E6FBB" w:rsidRDefault="000E6FBB">
      <w:pPr>
        <w:spacing w:after="0"/>
      </w:pPr>
    </w:p>
    <w:p w:rsidR="000E6FBB" w:rsidRDefault="002B75C4">
      <w:r>
        <w:t xml:space="preserve">Vrijednost neproizvedene dugotrajne imovine </w:t>
      </w:r>
      <w:proofErr w:type="gramStart"/>
      <w:r>
        <w:t>na</w:t>
      </w:r>
      <w:proofErr w:type="gramEnd"/>
      <w:r>
        <w:t xml:space="preserve"> dan 31.12.2025. </w:t>
      </w:r>
      <w:proofErr w:type="gramStart"/>
      <w:r>
        <w:t>iznosi</w:t>
      </w:r>
      <w:proofErr w:type="gramEnd"/>
      <w:r>
        <w:t xml:space="preserve"> 210.811,53 eur. Na ovoj poziciji u glavnoj knjizi evidentirano je ulaganje </w:t>
      </w:r>
      <w:proofErr w:type="gramStart"/>
      <w:r>
        <w:t>na</w:t>
      </w:r>
      <w:proofErr w:type="gramEnd"/>
      <w:r>
        <w:t xml:space="preserve"> tuđoj imovini radi prava korištenja - edukativna radionica na lokaciji Torpedo, skladno sporazumu i ugovoru </w:t>
      </w:r>
      <w:r>
        <w:t xml:space="preserve">o podzakupu poslovnog prostora između Pomorskog fakulteta u Rijeci i Tehničkog fakulteta u Rijeci. Za prostor Lučke uprave Rijeka, lokacije Torpedo, Pomorski fakultet Rijeka sklopio je ugovor o zakupu. Dio poslovnog prostora za edukativnu namjenu Tehnički </w:t>
      </w:r>
      <w:r>
        <w:t>fakultet uzeo je u podzakup. U istom prostoru izvršeni su radovi izgradnje i preuređenja infrastrukture, kako bi isti bio prikladan za izvođenje nastave.</w:t>
      </w:r>
    </w:p>
    <w:p w:rsidR="000E6FBB" w:rsidRDefault="000E6FBB"/>
    <w:p w:rsidR="000E6FBB" w:rsidRDefault="002B75C4">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02</w:t>
            </w:r>
          </w:p>
        </w:tc>
        <w:tc>
          <w:tcPr>
            <w:tcW w:w="3180" w:type="dxa"/>
            <w:tcMar>
              <w:top w:w="0" w:type="dxa"/>
              <w:bottom w:w="0" w:type="dxa"/>
            </w:tcMar>
            <w:vAlign w:val="center"/>
          </w:tcPr>
          <w:p w:rsidR="000E6FBB" w:rsidRDefault="002B75C4">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0E6FBB" w:rsidRDefault="002B75C4">
            <w:pPr>
              <w:keepNext/>
              <w:keepLines/>
              <w:spacing w:after="0" w:line="240" w:lineRule="auto"/>
            </w:pPr>
            <w:r>
              <w:rPr>
                <w:sz w:val="18"/>
              </w:rPr>
              <w:t>02</w:t>
            </w:r>
          </w:p>
        </w:tc>
        <w:tc>
          <w:tcPr>
            <w:tcW w:w="1860" w:type="dxa"/>
            <w:tcMar>
              <w:top w:w="0" w:type="dxa"/>
              <w:bottom w:w="0" w:type="dxa"/>
            </w:tcMar>
            <w:vAlign w:val="center"/>
          </w:tcPr>
          <w:p w:rsidR="000E6FBB" w:rsidRDefault="002B75C4">
            <w:pPr>
              <w:keepNext/>
              <w:keepLines/>
              <w:spacing w:after="0" w:line="240" w:lineRule="auto"/>
              <w:jc w:val="right"/>
            </w:pPr>
            <w:r>
              <w:rPr>
                <w:sz w:val="18"/>
              </w:rPr>
              <w:t>4.886.919,59</w:t>
            </w:r>
          </w:p>
        </w:tc>
        <w:tc>
          <w:tcPr>
            <w:tcW w:w="1860" w:type="dxa"/>
            <w:tcMar>
              <w:top w:w="0" w:type="dxa"/>
              <w:bottom w:w="0" w:type="dxa"/>
            </w:tcMar>
            <w:vAlign w:val="center"/>
          </w:tcPr>
          <w:p w:rsidR="000E6FBB" w:rsidRDefault="002B75C4">
            <w:pPr>
              <w:keepNext/>
              <w:keepLines/>
              <w:spacing w:after="0" w:line="240" w:lineRule="auto"/>
              <w:jc w:val="right"/>
            </w:pPr>
            <w:r>
              <w:rPr>
                <w:sz w:val="18"/>
              </w:rPr>
              <w:t>4.774.527,57</w:t>
            </w:r>
          </w:p>
        </w:tc>
        <w:tc>
          <w:tcPr>
            <w:tcW w:w="700" w:type="dxa"/>
            <w:tcMar>
              <w:top w:w="0" w:type="dxa"/>
              <w:bottom w:w="0" w:type="dxa"/>
            </w:tcMar>
            <w:vAlign w:val="center"/>
          </w:tcPr>
          <w:p w:rsidR="000E6FBB" w:rsidRDefault="002B75C4">
            <w:pPr>
              <w:keepNext/>
              <w:keepLines/>
              <w:spacing w:after="0" w:line="240" w:lineRule="auto"/>
              <w:jc w:val="right"/>
            </w:pPr>
            <w:r>
              <w:rPr>
                <w:sz w:val="18"/>
              </w:rPr>
              <w:t>97,7</w:t>
            </w:r>
          </w:p>
        </w:tc>
      </w:tr>
    </w:tbl>
    <w:p w:rsidR="000E6FBB" w:rsidRDefault="000E6FBB">
      <w:pPr>
        <w:spacing w:after="0"/>
      </w:pPr>
    </w:p>
    <w:p w:rsidR="000E6FBB" w:rsidRDefault="002B75C4">
      <w:r>
        <w:t xml:space="preserve">Vrijednost proizvedene dugotrajne imovine </w:t>
      </w:r>
      <w:proofErr w:type="gramStart"/>
      <w:r>
        <w:t>na</w:t>
      </w:r>
      <w:proofErr w:type="gramEnd"/>
      <w:r>
        <w:t xml:space="preserve"> dan 31.12.2025. </w:t>
      </w:r>
      <w:proofErr w:type="gramStart"/>
      <w:r>
        <w:t>iznosi</w:t>
      </w:r>
      <w:proofErr w:type="gramEnd"/>
      <w:r>
        <w:t xml:space="preserve"> 4.774.527,57 eur.</w:t>
      </w:r>
    </w:p>
    <w:p w:rsidR="000E6FBB" w:rsidRDefault="002B75C4">
      <w:r>
        <w:t xml:space="preserve">U 2025. </w:t>
      </w:r>
      <w:proofErr w:type="gramStart"/>
      <w:r>
        <w:t>godini</w:t>
      </w:r>
      <w:proofErr w:type="gramEnd"/>
      <w:r>
        <w:t xml:space="preserve"> ispravak vrijednosti imovine iznosio je 554.379,67 eur. Prema modificiranom računovodstvenom načelu nastanka događaja, Pravilnika o proračunskom računovods</w:t>
      </w:r>
      <w:r>
        <w:t>tvu, ne iskazuje se rashod amortizacije nefinancijske dugotrajne imovine. Ukupna vrijednost imovine je priznata kao rashod već u trenutku nabave. Budući da se ne iskazuje rashod po osnovi amortizacije, to se smanjenje vrijednosti dugotrajne imovine po osno</w:t>
      </w:r>
      <w:r>
        <w:t>vi ispravka vrijednosti istodobno iskazuje i kao smanjenje izvora vlasništva. Ovakvo računovodstveno postupanje propisano je Pravilnikom gdje je navedeno da se za ispravak vrijednosti imovine umanjuju vlastiti izvori.</w:t>
      </w:r>
    </w:p>
    <w:p w:rsidR="000E6FBB" w:rsidRDefault="000E6FBB"/>
    <w:p w:rsidR="000E6FBB" w:rsidRDefault="002B75C4">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12</w:t>
            </w:r>
          </w:p>
        </w:tc>
        <w:tc>
          <w:tcPr>
            <w:tcW w:w="3180" w:type="dxa"/>
            <w:tcMar>
              <w:top w:w="0" w:type="dxa"/>
              <w:bottom w:w="0" w:type="dxa"/>
            </w:tcMar>
            <w:vAlign w:val="center"/>
          </w:tcPr>
          <w:p w:rsidR="000E6FBB" w:rsidRDefault="002B75C4">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rsidR="000E6FBB" w:rsidRDefault="002B75C4">
            <w:pPr>
              <w:keepNext/>
              <w:keepLines/>
              <w:spacing w:after="0" w:line="240" w:lineRule="auto"/>
            </w:pPr>
            <w:r>
              <w:rPr>
                <w:sz w:val="18"/>
              </w:rPr>
              <w:t>12</w:t>
            </w:r>
          </w:p>
        </w:tc>
        <w:tc>
          <w:tcPr>
            <w:tcW w:w="1860" w:type="dxa"/>
            <w:tcMar>
              <w:top w:w="0" w:type="dxa"/>
              <w:bottom w:w="0" w:type="dxa"/>
            </w:tcMar>
            <w:vAlign w:val="center"/>
          </w:tcPr>
          <w:p w:rsidR="000E6FBB" w:rsidRDefault="002B75C4">
            <w:pPr>
              <w:keepNext/>
              <w:keepLines/>
              <w:spacing w:after="0" w:line="240" w:lineRule="auto"/>
              <w:jc w:val="right"/>
            </w:pPr>
            <w:r>
              <w:rPr>
                <w:sz w:val="18"/>
              </w:rPr>
              <w:t>13.836,27</w:t>
            </w:r>
          </w:p>
        </w:tc>
        <w:tc>
          <w:tcPr>
            <w:tcW w:w="1860" w:type="dxa"/>
            <w:tcMar>
              <w:top w:w="0" w:type="dxa"/>
              <w:bottom w:w="0" w:type="dxa"/>
            </w:tcMar>
            <w:vAlign w:val="center"/>
          </w:tcPr>
          <w:p w:rsidR="000E6FBB" w:rsidRDefault="002B75C4">
            <w:pPr>
              <w:keepNext/>
              <w:keepLines/>
              <w:spacing w:after="0" w:line="240" w:lineRule="auto"/>
              <w:jc w:val="right"/>
            </w:pPr>
            <w:r>
              <w:rPr>
                <w:sz w:val="18"/>
              </w:rPr>
              <w:t>29.223,94</w:t>
            </w:r>
          </w:p>
        </w:tc>
        <w:tc>
          <w:tcPr>
            <w:tcW w:w="700" w:type="dxa"/>
            <w:tcMar>
              <w:top w:w="0" w:type="dxa"/>
              <w:bottom w:w="0" w:type="dxa"/>
            </w:tcMar>
            <w:vAlign w:val="center"/>
          </w:tcPr>
          <w:p w:rsidR="000E6FBB" w:rsidRDefault="002B75C4">
            <w:pPr>
              <w:keepNext/>
              <w:keepLines/>
              <w:spacing w:after="0" w:line="240" w:lineRule="auto"/>
              <w:jc w:val="right"/>
            </w:pPr>
            <w:r>
              <w:rPr>
                <w:sz w:val="18"/>
              </w:rPr>
              <w:t>211,2</w:t>
            </w:r>
          </w:p>
        </w:tc>
      </w:tr>
    </w:tbl>
    <w:p w:rsidR="000E6FBB" w:rsidRDefault="000E6FBB">
      <w:pPr>
        <w:spacing w:after="0"/>
      </w:pPr>
    </w:p>
    <w:p w:rsidR="000E6FBB" w:rsidRDefault="002B75C4">
      <w:r>
        <w:t xml:space="preserve">Potraživanja za jamčevne pologe, </w:t>
      </w:r>
      <w:proofErr w:type="gramStart"/>
      <w:r>
        <w:t>od</w:t>
      </w:r>
      <w:proofErr w:type="gramEnd"/>
      <w:r>
        <w:t xml:space="preserve"> zaposlenih te za više plaćene poreze i ostalo na dan 31.12.2025. </w:t>
      </w:r>
      <w:proofErr w:type="gramStart"/>
      <w:r>
        <w:t>iznose</w:t>
      </w:r>
      <w:proofErr w:type="gramEnd"/>
      <w:r>
        <w:t xml:space="preserve"> 29.223,94 eur, što je u odnosu na prethodnu godinu povećanje za 111%. Na ovoj poziciji iskazana su: potraživanja od zaposlenika u iznosu 213</w:t>
      </w:r>
      <w:proofErr w:type="gramStart"/>
      <w:r>
        <w:t>,26</w:t>
      </w:r>
      <w:proofErr w:type="gramEnd"/>
      <w:r>
        <w:t xml:space="preserve"> eur,</w:t>
      </w:r>
      <w:r>
        <w:t xml:space="preserve"> potraživanja od HZZO-a po osnovi bolovanja iznad 42 dana, bolovanja za ozljede na radu i preventivne zdravstvene preglede 4.688,20 eur te potraživanja za predujmove dobavljačima 24.322,48 eur. </w:t>
      </w:r>
    </w:p>
    <w:p w:rsidR="000E6FBB" w:rsidRDefault="000E6FBB"/>
    <w:p w:rsidR="000E6FBB" w:rsidRDefault="002B75C4">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w:t>
            </w:r>
            <w:r>
              <w:rPr>
                <w:b/>
                <w:sz w:val="18"/>
              </w:rPr>
              <w:t xml:space="preserve">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16</w:t>
            </w:r>
          </w:p>
        </w:tc>
        <w:tc>
          <w:tcPr>
            <w:tcW w:w="3180" w:type="dxa"/>
            <w:tcMar>
              <w:top w:w="0" w:type="dxa"/>
              <w:bottom w:w="0" w:type="dxa"/>
            </w:tcMar>
            <w:vAlign w:val="center"/>
          </w:tcPr>
          <w:p w:rsidR="000E6FBB" w:rsidRDefault="002B75C4">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0E6FBB" w:rsidRDefault="002B75C4">
            <w:pPr>
              <w:keepNext/>
              <w:keepLines/>
              <w:spacing w:after="0" w:line="240" w:lineRule="auto"/>
            </w:pPr>
            <w:r>
              <w:rPr>
                <w:sz w:val="18"/>
              </w:rPr>
              <w:t>16</w:t>
            </w:r>
          </w:p>
        </w:tc>
        <w:tc>
          <w:tcPr>
            <w:tcW w:w="1860" w:type="dxa"/>
            <w:tcMar>
              <w:top w:w="0" w:type="dxa"/>
              <w:bottom w:w="0" w:type="dxa"/>
            </w:tcMar>
            <w:vAlign w:val="center"/>
          </w:tcPr>
          <w:p w:rsidR="000E6FBB" w:rsidRDefault="002B75C4">
            <w:pPr>
              <w:keepNext/>
              <w:keepLines/>
              <w:spacing w:after="0" w:line="240" w:lineRule="auto"/>
              <w:jc w:val="right"/>
            </w:pPr>
            <w:r>
              <w:rPr>
                <w:sz w:val="18"/>
              </w:rPr>
              <w:t>17.104,10</w:t>
            </w:r>
          </w:p>
        </w:tc>
        <w:tc>
          <w:tcPr>
            <w:tcW w:w="1860" w:type="dxa"/>
            <w:tcMar>
              <w:top w:w="0" w:type="dxa"/>
              <w:bottom w:w="0" w:type="dxa"/>
            </w:tcMar>
            <w:vAlign w:val="center"/>
          </w:tcPr>
          <w:p w:rsidR="000E6FBB" w:rsidRDefault="002B75C4">
            <w:pPr>
              <w:keepNext/>
              <w:keepLines/>
              <w:spacing w:after="0" w:line="240" w:lineRule="auto"/>
              <w:jc w:val="right"/>
            </w:pPr>
            <w:r>
              <w:rPr>
                <w:sz w:val="18"/>
              </w:rPr>
              <w:t>34.202,70</w:t>
            </w:r>
          </w:p>
        </w:tc>
        <w:tc>
          <w:tcPr>
            <w:tcW w:w="700" w:type="dxa"/>
            <w:tcMar>
              <w:top w:w="0" w:type="dxa"/>
              <w:bottom w:w="0" w:type="dxa"/>
            </w:tcMar>
            <w:vAlign w:val="center"/>
          </w:tcPr>
          <w:p w:rsidR="000E6FBB" w:rsidRDefault="002B75C4">
            <w:pPr>
              <w:keepNext/>
              <w:keepLines/>
              <w:spacing w:after="0" w:line="240" w:lineRule="auto"/>
              <w:jc w:val="right"/>
            </w:pPr>
            <w:r>
              <w:rPr>
                <w:sz w:val="18"/>
              </w:rPr>
              <w:t>200,0</w:t>
            </w:r>
          </w:p>
        </w:tc>
      </w:tr>
    </w:tbl>
    <w:p w:rsidR="000E6FBB" w:rsidRDefault="000E6FBB">
      <w:pPr>
        <w:spacing w:after="0"/>
      </w:pPr>
    </w:p>
    <w:p w:rsidR="000E6FBB" w:rsidRDefault="002B75C4">
      <w:r>
        <w:t xml:space="preserve">Potraživanja za prihode poslovanja iznose 34.202,70 eur, što je povećanje </w:t>
      </w:r>
      <w:proofErr w:type="gramStart"/>
      <w:r>
        <w:t>od</w:t>
      </w:r>
      <w:proofErr w:type="gramEnd"/>
      <w:r>
        <w:t xml:space="preserve"> 100% u odnosu na prethodnu godinu. Isti iznos sastoji se od: potraživanja od zakupa i iznajmljivanja imovine (šifra 164) u iznosu 4.539,41 eur (najam prostora marendarija, skripta</w:t>
      </w:r>
      <w:r>
        <w:t xml:space="preserve">rnice i prostora za automate za tople napitke), potraživanja za prihode po posebnim propisima (šifra 165) u iznosu 6.644,00 eur (upisnine i školarine studenata), potraživanja za prihode od prodaje proizvoda u iznosu 147,34 eur i potraživanja za prihode od </w:t>
      </w:r>
      <w:r>
        <w:t>pruženih usluga temeljem poslova vlastite djelatnosti u iznosu 22.871,95 eur, (šifra 166) od čega je nedospjelo 15.580,20 eur, a dospjelo 7.291,75 eur. </w:t>
      </w:r>
    </w:p>
    <w:p w:rsidR="000E6FBB" w:rsidRDefault="000E6FBB"/>
    <w:p w:rsidR="000E6FBB" w:rsidRDefault="002B75C4">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19</w:t>
            </w:r>
          </w:p>
        </w:tc>
        <w:tc>
          <w:tcPr>
            <w:tcW w:w="3180" w:type="dxa"/>
            <w:tcMar>
              <w:top w:w="0" w:type="dxa"/>
              <w:bottom w:w="0" w:type="dxa"/>
            </w:tcMar>
            <w:vAlign w:val="center"/>
          </w:tcPr>
          <w:p w:rsidR="000E6FBB" w:rsidRDefault="002B75C4">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0E6FBB" w:rsidRDefault="002B75C4">
            <w:pPr>
              <w:keepNext/>
              <w:keepLines/>
              <w:spacing w:after="0" w:line="240" w:lineRule="auto"/>
            </w:pPr>
            <w:r>
              <w:rPr>
                <w:sz w:val="18"/>
              </w:rPr>
              <w:t>19</w:t>
            </w:r>
          </w:p>
        </w:tc>
        <w:tc>
          <w:tcPr>
            <w:tcW w:w="1860" w:type="dxa"/>
            <w:tcMar>
              <w:top w:w="0" w:type="dxa"/>
              <w:bottom w:w="0" w:type="dxa"/>
            </w:tcMar>
            <w:vAlign w:val="center"/>
          </w:tcPr>
          <w:p w:rsidR="000E6FBB" w:rsidRDefault="002B75C4">
            <w:pPr>
              <w:keepNext/>
              <w:keepLines/>
              <w:spacing w:after="0" w:line="240" w:lineRule="auto"/>
              <w:jc w:val="right"/>
            </w:pPr>
            <w:r>
              <w:rPr>
                <w:sz w:val="18"/>
              </w:rPr>
              <w:t>680.141,49</w:t>
            </w:r>
          </w:p>
        </w:tc>
        <w:tc>
          <w:tcPr>
            <w:tcW w:w="1860" w:type="dxa"/>
            <w:tcMar>
              <w:top w:w="0" w:type="dxa"/>
              <w:bottom w:w="0" w:type="dxa"/>
            </w:tcMar>
            <w:vAlign w:val="center"/>
          </w:tcPr>
          <w:p w:rsidR="000E6FBB" w:rsidRDefault="002B75C4">
            <w:pPr>
              <w:keepNext/>
              <w:keepLines/>
              <w:spacing w:after="0" w:line="240" w:lineRule="auto"/>
              <w:jc w:val="right"/>
            </w:pPr>
            <w:r>
              <w:rPr>
                <w:sz w:val="18"/>
              </w:rPr>
              <w:t>40,01</w:t>
            </w:r>
          </w:p>
        </w:tc>
        <w:tc>
          <w:tcPr>
            <w:tcW w:w="700" w:type="dxa"/>
            <w:tcMar>
              <w:top w:w="0" w:type="dxa"/>
              <w:bottom w:w="0" w:type="dxa"/>
            </w:tcMar>
            <w:vAlign w:val="center"/>
          </w:tcPr>
          <w:p w:rsidR="000E6FBB" w:rsidRDefault="002B75C4">
            <w:pPr>
              <w:keepNext/>
              <w:keepLines/>
              <w:spacing w:after="0" w:line="240" w:lineRule="auto"/>
              <w:jc w:val="right"/>
            </w:pPr>
            <w:r>
              <w:rPr>
                <w:sz w:val="18"/>
              </w:rPr>
              <w:t>0,0</w:t>
            </w:r>
          </w:p>
        </w:tc>
      </w:tr>
    </w:tbl>
    <w:p w:rsidR="000E6FBB" w:rsidRDefault="000E6FBB">
      <w:pPr>
        <w:spacing w:after="0"/>
      </w:pPr>
    </w:p>
    <w:p w:rsidR="000E6FBB" w:rsidRDefault="002B75C4">
      <w:r>
        <w:t>Unaprijed plaćeni rashodi budućih razdoblja na računu 19, aktivna vremenska razgraničenja značajno odstupaju od prethodne godine zbog ukidanja skupine 193- kontinuirani rashodi budućih razdoblja, gdje je u prethodnoj godini iskazana bruto plaća za zaposlen</w:t>
      </w:r>
      <w:r>
        <w:t xml:space="preserve">e i prijevoz djelatnika na posao i s posla za mjesec prosinac 2024. </w:t>
      </w:r>
      <w:proofErr w:type="gramStart"/>
      <w:r>
        <w:t>god</w:t>
      </w:r>
      <w:proofErr w:type="gramEnd"/>
      <w:r>
        <w:t xml:space="preserve">, koji su isplaćeni u mjesecu siječnju 2025. </w:t>
      </w:r>
      <w:proofErr w:type="gramStart"/>
      <w:r>
        <w:t>godine</w:t>
      </w:r>
      <w:proofErr w:type="gramEnd"/>
      <w:r>
        <w:t>. </w:t>
      </w:r>
    </w:p>
    <w:p w:rsidR="000E6FBB" w:rsidRDefault="002B75C4">
      <w:r>
        <w:t xml:space="preserve">U 2025. </w:t>
      </w:r>
      <w:proofErr w:type="gramStart"/>
      <w:r>
        <w:t>godini</w:t>
      </w:r>
      <w:proofErr w:type="gramEnd"/>
      <w:r>
        <w:t xml:space="preserve"> evidentirani su samo unaprijed plaćeni rashodi budućih razdoblja (šifra 191), u kojem iznosu od 40,01 eur je sadržan</w:t>
      </w:r>
      <w:r>
        <w:t>a unaprijed plaćena mjesečna karta za javni gradski prijevoz.</w:t>
      </w:r>
    </w:p>
    <w:p w:rsidR="000E6FBB" w:rsidRDefault="000E6FBB"/>
    <w:p w:rsidR="000E6FBB" w:rsidRDefault="002B75C4">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OBVEZE I VLASTITI IZVORI (šifre 2+9)</w:t>
            </w:r>
          </w:p>
        </w:tc>
        <w:tc>
          <w:tcPr>
            <w:tcW w:w="700" w:type="dxa"/>
            <w:tcMar>
              <w:top w:w="0" w:type="dxa"/>
              <w:bottom w:w="0" w:type="dxa"/>
            </w:tcMar>
            <w:vAlign w:val="center"/>
          </w:tcPr>
          <w:p w:rsidR="000E6FBB" w:rsidRDefault="002B75C4">
            <w:pPr>
              <w:keepNext/>
              <w:keepLines/>
              <w:spacing w:after="0" w:line="240" w:lineRule="auto"/>
            </w:pPr>
            <w:r>
              <w:rPr>
                <w:sz w:val="18"/>
              </w:rPr>
              <w:t>B003</w:t>
            </w:r>
          </w:p>
        </w:tc>
        <w:tc>
          <w:tcPr>
            <w:tcW w:w="1860" w:type="dxa"/>
            <w:tcMar>
              <w:top w:w="0" w:type="dxa"/>
              <w:bottom w:w="0" w:type="dxa"/>
            </w:tcMar>
            <w:vAlign w:val="center"/>
          </w:tcPr>
          <w:p w:rsidR="000E6FBB" w:rsidRDefault="002B75C4">
            <w:pPr>
              <w:keepNext/>
              <w:keepLines/>
              <w:spacing w:after="0" w:line="240" w:lineRule="auto"/>
              <w:jc w:val="right"/>
            </w:pPr>
            <w:r>
              <w:rPr>
                <w:sz w:val="18"/>
              </w:rPr>
              <w:t>8.670.403,42</w:t>
            </w:r>
          </w:p>
        </w:tc>
        <w:tc>
          <w:tcPr>
            <w:tcW w:w="1860" w:type="dxa"/>
            <w:tcMar>
              <w:top w:w="0" w:type="dxa"/>
              <w:bottom w:w="0" w:type="dxa"/>
            </w:tcMar>
            <w:vAlign w:val="center"/>
          </w:tcPr>
          <w:p w:rsidR="000E6FBB" w:rsidRDefault="002B75C4">
            <w:pPr>
              <w:keepNext/>
              <w:keepLines/>
              <w:spacing w:after="0" w:line="240" w:lineRule="auto"/>
              <w:jc w:val="right"/>
            </w:pPr>
            <w:r>
              <w:rPr>
                <w:sz w:val="18"/>
              </w:rPr>
              <w:t>7.520.213,77</w:t>
            </w:r>
          </w:p>
        </w:tc>
        <w:tc>
          <w:tcPr>
            <w:tcW w:w="700" w:type="dxa"/>
            <w:tcMar>
              <w:top w:w="0" w:type="dxa"/>
              <w:bottom w:w="0" w:type="dxa"/>
            </w:tcMar>
            <w:vAlign w:val="center"/>
          </w:tcPr>
          <w:p w:rsidR="000E6FBB" w:rsidRDefault="002B75C4">
            <w:pPr>
              <w:keepNext/>
              <w:keepLines/>
              <w:spacing w:after="0" w:line="240" w:lineRule="auto"/>
              <w:jc w:val="right"/>
            </w:pPr>
            <w:r>
              <w:rPr>
                <w:sz w:val="18"/>
              </w:rPr>
              <w:t>86,7</w:t>
            </w:r>
          </w:p>
        </w:tc>
      </w:tr>
    </w:tbl>
    <w:p w:rsidR="000E6FBB" w:rsidRDefault="000E6FBB">
      <w:pPr>
        <w:spacing w:after="0"/>
      </w:pPr>
    </w:p>
    <w:p w:rsidR="000E6FBB" w:rsidRDefault="002B75C4">
      <w:r>
        <w:t>Vrijednost obveza i vlastitih izvora iznosi 7.520.213</w:t>
      </w:r>
      <w:proofErr w:type="gramStart"/>
      <w:r>
        <w:t>,77</w:t>
      </w:r>
      <w:proofErr w:type="gramEnd"/>
      <w:r>
        <w:t xml:space="preserve"> eur, od čega se samo na vrijednost obveza odnosi 1.235.226,07 eur (šifra 2). </w:t>
      </w:r>
    </w:p>
    <w:p w:rsidR="000E6FBB" w:rsidRDefault="000E6FBB"/>
    <w:p w:rsidR="000E6FBB" w:rsidRDefault="002B75C4">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231</w:t>
            </w:r>
          </w:p>
        </w:tc>
        <w:tc>
          <w:tcPr>
            <w:tcW w:w="3180" w:type="dxa"/>
            <w:tcMar>
              <w:top w:w="0" w:type="dxa"/>
              <w:bottom w:w="0" w:type="dxa"/>
            </w:tcMar>
            <w:vAlign w:val="center"/>
          </w:tcPr>
          <w:p w:rsidR="000E6FBB" w:rsidRDefault="002B75C4">
            <w:pPr>
              <w:keepNext/>
              <w:keepLines/>
              <w:spacing w:after="0" w:line="240" w:lineRule="auto"/>
            </w:pPr>
            <w:r>
              <w:rPr>
                <w:sz w:val="18"/>
              </w:rPr>
              <w:t xml:space="preserve">Obveze za </w:t>
            </w:r>
            <w:r>
              <w:rPr>
                <w:sz w:val="18"/>
              </w:rPr>
              <w:t>zaposlene</w:t>
            </w:r>
          </w:p>
        </w:tc>
        <w:tc>
          <w:tcPr>
            <w:tcW w:w="700" w:type="dxa"/>
            <w:tcMar>
              <w:top w:w="0" w:type="dxa"/>
              <w:bottom w:w="0" w:type="dxa"/>
            </w:tcMar>
            <w:vAlign w:val="center"/>
          </w:tcPr>
          <w:p w:rsidR="000E6FBB" w:rsidRDefault="002B75C4">
            <w:pPr>
              <w:keepNext/>
              <w:keepLines/>
              <w:spacing w:after="0" w:line="240" w:lineRule="auto"/>
            </w:pPr>
            <w:r>
              <w:rPr>
                <w:sz w:val="18"/>
              </w:rPr>
              <w:t>231</w:t>
            </w:r>
          </w:p>
        </w:tc>
        <w:tc>
          <w:tcPr>
            <w:tcW w:w="1860" w:type="dxa"/>
            <w:tcMar>
              <w:top w:w="0" w:type="dxa"/>
              <w:bottom w:w="0" w:type="dxa"/>
            </w:tcMar>
            <w:vAlign w:val="center"/>
          </w:tcPr>
          <w:p w:rsidR="000E6FBB" w:rsidRDefault="002B75C4">
            <w:pPr>
              <w:keepNext/>
              <w:keepLines/>
              <w:spacing w:after="0" w:line="240" w:lineRule="auto"/>
              <w:jc w:val="right"/>
            </w:pPr>
            <w:r>
              <w:rPr>
                <w:sz w:val="18"/>
              </w:rPr>
              <w:t>672.018,21</w:t>
            </w:r>
          </w:p>
        </w:tc>
        <w:tc>
          <w:tcPr>
            <w:tcW w:w="1860" w:type="dxa"/>
            <w:tcMar>
              <w:top w:w="0" w:type="dxa"/>
              <w:bottom w:w="0" w:type="dxa"/>
            </w:tcMar>
            <w:vAlign w:val="center"/>
          </w:tcPr>
          <w:p w:rsidR="000E6FBB" w:rsidRDefault="002B75C4">
            <w:pPr>
              <w:keepNext/>
              <w:keepLines/>
              <w:spacing w:after="0" w:line="240" w:lineRule="auto"/>
              <w:jc w:val="right"/>
            </w:pPr>
            <w:r>
              <w:rPr>
                <w:sz w:val="18"/>
              </w:rPr>
              <w:t>729.091,17</w:t>
            </w:r>
          </w:p>
        </w:tc>
        <w:tc>
          <w:tcPr>
            <w:tcW w:w="700" w:type="dxa"/>
            <w:tcMar>
              <w:top w:w="0" w:type="dxa"/>
              <w:bottom w:w="0" w:type="dxa"/>
            </w:tcMar>
            <w:vAlign w:val="center"/>
          </w:tcPr>
          <w:p w:rsidR="000E6FBB" w:rsidRDefault="002B75C4">
            <w:pPr>
              <w:keepNext/>
              <w:keepLines/>
              <w:spacing w:after="0" w:line="240" w:lineRule="auto"/>
              <w:jc w:val="right"/>
            </w:pPr>
            <w:r>
              <w:rPr>
                <w:sz w:val="18"/>
              </w:rPr>
              <w:t>108,5</w:t>
            </w:r>
          </w:p>
        </w:tc>
      </w:tr>
    </w:tbl>
    <w:p w:rsidR="000E6FBB" w:rsidRDefault="000E6FBB">
      <w:pPr>
        <w:spacing w:after="0"/>
      </w:pPr>
    </w:p>
    <w:p w:rsidR="000E6FBB" w:rsidRDefault="002B75C4">
      <w:r>
        <w:t>Obveze za zaposlene iznose 729.091,17 eur, što predstavlja uvećanje za 8% u odnosu na prethodnu godinu, a nastale su zbog primjene nove Uredbe o nazivima radnih mjesta, uvjetima za raspored i koeficijentima za obračun plaće u javnim službama. </w:t>
      </w:r>
    </w:p>
    <w:p w:rsidR="000E6FBB" w:rsidRDefault="000E6FBB"/>
    <w:p w:rsidR="000E6FBB" w:rsidRDefault="002B75C4">
      <w:pPr>
        <w:keepNext/>
        <w:spacing w:line="240" w:lineRule="auto"/>
        <w:jc w:val="center"/>
      </w:pPr>
      <w:r>
        <w:rPr>
          <w:sz w:val="28"/>
        </w:rPr>
        <w:t>Bilješka 41</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232</w:t>
            </w:r>
          </w:p>
        </w:tc>
        <w:tc>
          <w:tcPr>
            <w:tcW w:w="3180" w:type="dxa"/>
            <w:tcMar>
              <w:top w:w="0" w:type="dxa"/>
              <w:bottom w:w="0" w:type="dxa"/>
            </w:tcMar>
            <w:vAlign w:val="center"/>
          </w:tcPr>
          <w:p w:rsidR="000E6FBB" w:rsidRDefault="002B75C4">
            <w:pPr>
              <w:keepNext/>
              <w:keepLines/>
              <w:spacing w:after="0" w:line="240" w:lineRule="auto"/>
            </w:pPr>
            <w:r>
              <w:rPr>
                <w:sz w:val="18"/>
              </w:rPr>
              <w:t>Obveze za materijalne rashode</w:t>
            </w:r>
          </w:p>
        </w:tc>
        <w:tc>
          <w:tcPr>
            <w:tcW w:w="700" w:type="dxa"/>
            <w:tcMar>
              <w:top w:w="0" w:type="dxa"/>
              <w:bottom w:w="0" w:type="dxa"/>
            </w:tcMar>
            <w:vAlign w:val="center"/>
          </w:tcPr>
          <w:p w:rsidR="000E6FBB" w:rsidRDefault="002B75C4">
            <w:pPr>
              <w:keepNext/>
              <w:keepLines/>
              <w:spacing w:after="0" w:line="240" w:lineRule="auto"/>
            </w:pPr>
            <w:r>
              <w:rPr>
                <w:sz w:val="18"/>
              </w:rPr>
              <w:t>232</w:t>
            </w:r>
          </w:p>
        </w:tc>
        <w:tc>
          <w:tcPr>
            <w:tcW w:w="1860" w:type="dxa"/>
            <w:tcMar>
              <w:top w:w="0" w:type="dxa"/>
              <w:bottom w:w="0" w:type="dxa"/>
            </w:tcMar>
            <w:vAlign w:val="center"/>
          </w:tcPr>
          <w:p w:rsidR="000E6FBB" w:rsidRDefault="002B75C4">
            <w:pPr>
              <w:keepNext/>
              <w:keepLines/>
              <w:spacing w:after="0" w:line="240" w:lineRule="auto"/>
              <w:jc w:val="right"/>
            </w:pPr>
            <w:r>
              <w:rPr>
                <w:sz w:val="18"/>
              </w:rPr>
              <w:t>109.318,29</w:t>
            </w:r>
          </w:p>
        </w:tc>
        <w:tc>
          <w:tcPr>
            <w:tcW w:w="1860" w:type="dxa"/>
            <w:tcMar>
              <w:top w:w="0" w:type="dxa"/>
              <w:bottom w:w="0" w:type="dxa"/>
            </w:tcMar>
            <w:vAlign w:val="center"/>
          </w:tcPr>
          <w:p w:rsidR="000E6FBB" w:rsidRDefault="002B75C4">
            <w:pPr>
              <w:keepNext/>
              <w:keepLines/>
              <w:spacing w:after="0" w:line="240" w:lineRule="auto"/>
              <w:jc w:val="right"/>
            </w:pPr>
            <w:r>
              <w:rPr>
                <w:sz w:val="18"/>
              </w:rPr>
              <w:t>36.605,59</w:t>
            </w:r>
          </w:p>
        </w:tc>
        <w:tc>
          <w:tcPr>
            <w:tcW w:w="700" w:type="dxa"/>
            <w:tcMar>
              <w:top w:w="0" w:type="dxa"/>
              <w:bottom w:w="0" w:type="dxa"/>
            </w:tcMar>
            <w:vAlign w:val="center"/>
          </w:tcPr>
          <w:p w:rsidR="000E6FBB" w:rsidRDefault="002B75C4">
            <w:pPr>
              <w:keepNext/>
              <w:keepLines/>
              <w:spacing w:after="0" w:line="240" w:lineRule="auto"/>
              <w:jc w:val="right"/>
            </w:pPr>
            <w:r>
              <w:rPr>
                <w:sz w:val="18"/>
              </w:rPr>
              <w:t>33,5</w:t>
            </w:r>
          </w:p>
        </w:tc>
      </w:tr>
    </w:tbl>
    <w:p w:rsidR="000E6FBB" w:rsidRDefault="000E6FBB">
      <w:pPr>
        <w:spacing w:after="0"/>
      </w:pPr>
    </w:p>
    <w:p w:rsidR="000E6FBB" w:rsidRDefault="002B75C4">
      <w:r>
        <w:t xml:space="preserve">Obveze za materijalne rashode iznose 36.605,59 eur, što je znatno smanjenje u odnosu na prethodnu godinu, a iskazano je zbog dobivenih računa za usluge tekućeg i investicijskog održavanja u prosincu </w:t>
      </w:r>
      <w:proofErr w:type="gramStart"/>
      <w:r>
        <w:t>2024.,</w:t>
      </w:r>
      <w:proofErr w:type="gramEnd"/>
      <w:r>
        <w:t xml:space="preserve"> a koji su dospijevali u siječnju 2025. </w:t>
      </w:r>
      <w:proofErr w:type="gramStart"/>
      <w:r>
        <w:t>godine</w:t>
      </w:r>
      <w:proofErr w:type="gramEnd"/>
      <w:r>
        <w:t>.</w:t>
      </w:r>
    </w:p>
    <w:p w:rsidR="000E6FBB" w:rsidRDefault="000E6FBB"/>
    <w:p w:rsidR="000E6FBB" w:rsidRDefault="002B75C4">
      <w:pPr>
        <w:keepNext/>
        <w:spacing w:line="240" w:lineRule="auto"/>
        <w:jc w:val="center"/>
      </w:pPr>
      <w:r>
        <w:rPr>
          <w:sz w:val="28"/>
        </w:rPr>
        <w:t>Bi</w:t>
      </w:r>
      <w:r>
        <w:rPr>
          <w:sz w:val="28"/>
        </w:rPr>
        <w:t>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239</w:t>
            </w:r>
          </w:p>
        </w:tc>
        <w:tc>
          <w:tcPr>
            <w:tcW w:w="3180" w:type="dxa"/>
            <w:tcMar>
              <w:top w:w="0" w:type="dxa"/>
              <w:bottom w:w="0" w:type="dxa"/>
            </w:tcMar>
            <w:vAlign w:val="center"/>
          </w:tcPr>
          <w:p w:rsidR="000E6FBB" w:rsidRDefault="002B75C4">
            <w:pPr>
              <w:keepNext/>
              <w:keepLines/>
              <w:spacing w:after="0" w:line="240" w:lineRule="auto"/>
            </w:pPr>
            <w:r>
              <w:rPr>
                <w:sz w:val="18"/>
              </w:rPr>
              <w:t>Ostale tekuće obveze</w:t>
            </w:r>
          </w:p>
        </w:tc>
        <w:tc>
          <w:tcPr>
            <w:tcW w:w="700" w:type="dxa"/>
            <w:tcMar>
              <w:top w:w="0" w:type="dxa"/>
              <w:bottom w:w="0" w:type="dxa"/>
            </w:tcMar>
            <w:vAlign w:val="center"/>
          </w:tcPr>
          <w:p w:rsidR="000E6FBB" w:rsidRDefault="002B75C4">
            <w:pPr>
              <w:keepNext/>
              <w:keepLines/>
              <w:spacing w:after="0" w:line="240" w:lineRule="auto"/>
            </w:pPr>
            <w:r>
              <w:rPr>
                <w:sz w:val="18"/>
              </w:rPr>
              <w:t>239</w:t>
            </w:r>
          </w:p>
        </w:tc>
        <w:tc>
          <w:tcPr>
            <w:tcW w:w="1860" w:type="dxa"/>
            <w:tcMar>
              <w:top w:w="0" w:type="dxa"/>
              <w:bottom w:w="0" w:type="dxa"/>
            </w:tcMar>
            <w:vAlign w:val="center"/>
          </w:tcPr>
          <w:p w:rsidR="000E6FBB" w:rsidRDefault="002B75C4">
            <w:pPr>
              <w:keepNext/>
              <w:keepLines/>
              <w:spacing w:after="0" w:line="240" w:lineRule="auto"/>
              <w:jc w:val="right"/>
            </w:pPr>
            <w:r>
              <w:rPr>
                <w:sz w:val="18"/>
              </w:rPr>
              <w:t>21.064,01</w:t>
            </w:r>
          </w:p>
        </w:tc>
        <w:tc>
          <w:tcPr>
            <w:tcW w:w="1860" w:type="dxa"/>
            <w:tcMar>
              <w:top w:w="0" w:type="dxa"/>
              <w:bottom w:w="0" w:type="dxa"/>
            </w:tcMar>
            <w:vAlign w:val="center"/>
          </w:tcPr>
          <w:p w:rsidR="000E6FBB" w:rsidRDefault="002B75C4">
            <w:pPr>
              <w:keepNext/>
              <w:keepLines/>
              <w:spacing w:after="0" w:line="240" w:lineRule="auto"/>
              <w:jc w:val="right"/>
            </w:pPr>
            <w:r>
              <w:rPr>
                <w:sz w:val="18"/>
              </w:rPr>
              <w:t>20.318,77</w:t>
            </w:r>
          </w:p>
        </w:tc>
        <w:tc>
          <w:tcPr>
            <w:tcW w:w="700" w:type="dxa"/>
            <w:tcMar>
              <w:top w:w="0" w:type="dxa"/>
              <w:bottom w:w="0" w:type="dxa"/>
            </w:tcMar>
            <w:vAlign w:val="center"/>
          </w:tcPr>
          <w:p w:rsidR="000E6FBB" w:rsidRDefault="002B75C4">
            <w:pPr>
              <w:keepNext/>
              <w:keepLines/>
              <w:spacing w:after="0" w:line="240" w:lineRule="auto"/>
              <w:jc w:val="right"/>
            </w:pPr>
            <w:r>
              <w:rPr>
                <w:sz w:val="18"/>
              </w:rPr>
              <w:t>96,5</w:t>
            </w:r>
          </w:p>
        </w:tc>
      </w:tr>
    </w:tbl>
    <w:p w:rsidR="000E6FBB" w:rsidRDefault="000E6FBB">
      <w:pPr>
        <w:spacing w:after="0"/>
      </w:pPr>
    </w:p>
    <w:p w:rsidR="000E6FBB" w:rsidRDefault="002B75C4">
      <w:r>
        <w:t>Ostale tekuće obveze u iznosu 20.318,77 eur sadrže: </w:t>
      </w:r>
    </w:p>
    <w:p w:rsidR="000E6FBB" w:rsidRDefault="002B75C4">
      <w:r>
        <w:lastRenderedPageBreak/>
        <w:t xml:space="preserve">-obveze za porez </w:t>
      </w:r>
      <w:proofErr w:type="gramStart"/>
      <w:r>
        <w:t>na</w:t>
      </w:r>
      <w:proofErr w:type="gramEnd"/>
      <w:r>
        <w:t xml:space="preserve"> dodanu vrijednost po konačnom obračunu za 2025. </w:t>
      </w:r>
      <w:proofErr w:type="gramStart"/>
      <w:r>
        <w:t>god</w:t>
      </w:r>
      <w:proofErr w:type="gramEnd"/>
      <w:r>
        <w:t xml:space="preserve">. </w:t>
      </w:r>
      <w:proofErr w:type="gramStart"/>
      <w:r>
        <w:t>u</w:t>
      </w:r>
      <w:proofErr w:type="gramEnd"/>
      <w:r>
        <w:t xml:space="preserve"> iznosu 8.469,90 eur,</w:t>
      </w:r>
    </w:p>
    <w:p w:rsidR="000E6FBB" w:rsidRDefault="002B75C4">
      <w:r>
        <w:t>-obveze za povrat UniRi (projekt UniRi mladi znanstvenici-A. Borić) 5.000,00 eur, </w:t>
      </w:r>
    </w:p>
    <w:p w:rsidR="000E6FBB" w:rsidRDefault="002B75C4">
      <w:r>
        <w:t>-obveze za povrat UniRi (projekt UniRi CLASS-A.V išković) 6.250,00 eur,</w:t>
      </w:r>
    </w:p>
    <w:p w:rsidR="000E6FBB" w:rsidRDefault="002B75C4">
      <w:r>
        <w:t>-obve</w:t>
      </w:r>
      <w:r>
        <w:t>ze za plaćanja kreditnim karticama (MasterCard) 598</w:t>
      </w:r>
      <w:proofErr w:type="gramStart"/>
      <w:r>
        <w:t>,77</w:t>
      </w:r>
      <w:proofErr w:type="gramEnd"/>
      <w:r>
        <w:t xml:space="preserve"> eur.</w:t>
      </w:r>
    </w:p>
    <w:p w:rsidR="000E6FBB" w:rsidRDefault="000E6FBB"/>
    <w:p w:rsidR="000E6FBB" w:rsidRDefault="002B75C4">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27</w:t>
            </w:r>
          </w:p>
        </w:tc>
        <w:tc>
          <w:tcPr>
            <w:tcW w:w="3180" w:type="dxa"/>
            <w:tcMar>
              <w:top w:w="0" w:type="dxa"/>
              <w:bottom w:w="0" w:type="dxa"/>
            </w:tcMar>
            <w:vAlign w:val="center"/>
          </w:tcPr>
          <w:p w:rsidR="000E6FBB" w:rsidRDefault="002B75C4">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0E6FBB" w:rsidRDefault="002B75C4">
            <w:pPr>
              <w:keepNext/>
              <w:keepLines/>
              <w:spacing w:after="0" w:line="240" w:lineRule="auto"/>
            </w:pPr>
            <w:r>
              <w:rPr>
                <w:sz w:val="18"/>
              </w:rPr>
              <w:t>27</w:t>
            </w:r>
          </w:p>
        </w:tc>
        <w:tc>
          <w:tcPr>
            <w:tcW w:w="1860" w:type="dxa"/>
            <w:tcMar>
              <w:top w:w="0" w:type="dxa"/>
              <w:bottom w:w="0" w:type="dxa"/>
            </w:tcMar>
            <w:vAlign w:val="center"/>
          </w:tcPr>
          <w:p w:rsidR="000E6FBB" w:rsidRDefault="002B75C4">
            <w:pPr>
              <w:keepNext/>
              <w:keepLines/>
              <w:spacing w:after="0" w:line="240" w:lineRule="auto"/>
              <w:jc w:val="right"/>
            </w:pPr>
            <w:r>
              <w:rPr>
                <w:sz w:val="18"/>
              </w:rPr>
              <w:t>56.986,63</w:t>
            </w:r>
          </w:p>
        </w:tc>
        <w:tc>
          <w:tcPr>
            <w:tcW w:w="1860" w:type="dxa"/>
            <w:tcMar>
              <w:top w:w="0" w:type="dxa"/>
              <w:bottom w:w="0" w:type="dxa"/>
            </w:tcMar>
            <w:vAlign w:val="center"/>
          </w:tcPr>
          <w:p w:rsidR="000E6FBB" w:rsidRDefault="002B75C4">
            <w:pPr>
              <w:keepNext/>
              <w:keepLines/>
              <w:spacing w:after="0" w:line="240" w:lineRule="auto"/>
              <w:jc w:val="right"/>
            </w:pPr>
            <w:r>
              <w:rPr>
                <w:sz w:val="18"/>
              </w:rPr>
              <w:t>75.065,80</w:t>
            </w:r>
          </w:p>
        </w:tc>
        <w:tc>
          <w:tcPr>
            <w:tcW w:w="700" w:type="dxa"/>
            <w:tcMar>
              <w:top w:w="0" w:type="dxa"/>
              <w:bottom w:w="0" w:type="dxa"/>
            </w:tcMar>
            <w:vAlign w:val="center"/>
          </w:tcPr>
          <w:p w:rsidR="000E6FBB" w:rsidRDefault="002B75C4">
            <w:pPr>
              <w:keepNext/>
              <w:keepLines/>
              <w:spacing w:after="0" w:line="240" w:lineRule="auto"/>
              <w:jc w:val="right"/>
            </w:pPr>
            <w:r>
              <w:rPr>
                <w:sz w:val="18"/>
              </w:rPr>
              <w:t>131,7</w:t>
            </w:r>
          </w:p>
        </w:tc>
      </w:tr>
    </w:tbl>
    <w:p w:rsidR="000E6FBB" w:rsidRDefault="000E6FBB">
      <w:pPr>
        <w:spacing w:after="0"/>
      </w:pPr>
    </w:p>
    <w:p w:rsidR="000E6FBB" w:rsidRDefault="002B75C4">
      <w:r>
        <w:t>Obveze za predujmove, depozite, jamčevne pologe i tuđe prihode u iznosu 75.065,80 eur sadrže:</w:t>
      </w:r>
    </w:p>
    <w:p w:rsidR="000E6FBB" w:rsidRDefault="002B75C4">
      <w:r>
        <w:t>-obveze za jamčevni polog Sveučilište u Rijeci (Bura) 5.022,00 eur,</w:t>
      </w:r>
    </w:p>
    <w:p w:rsidR="000E6FBB" w:rsidRDefault="002B75C4">
      <w:r>
        <w:t>-obveze za jamčevni polog Franck d.d. 500</w:t>
      </w:r>
      <w:proofErr w:type="gramStart"/>
      <w:r>
        <w:t>,00</w:t>
      </w:r>
      <w:proofErr w:type="gramEnd"/>
      <w:r>
        <w:t xml:space="preserve"> eur,</w:t>
      </w:r>
    </w:p>
    <w:p w:rsidR="000E6FBB" w:rsidRDefault="002B75C4">
      <w:r>
        <w:t>-obveze za jamčevni polog Tehničar c</w:t>
      </w:r>
      <w:r>
        <w:t>opyservis d.o.o. 100</w:t>
      </w:r>
      <w:proofErr w:type="gramStart"/>
      <w:r>
        <w:t>,00</w:t>
      </w:r>
      <w:proofErr w:type="gramEnd"/>
      <w:r>
        <w:t xml:space="preserve"> eur,</w:t>
      </w:r>
    </w:p>
    <w:p w:rsidR="000E6FBB" w:rsidRDefault="002B75C4">
      <w:r>
        <w:t>-</w:t>
      </w:r>
      <w:proofErr w:type="gramStart"/>
      <w:r>
        <w:t>obveze</w:t>
      </w:r>
      <w:proofErr w:type="gramEnd"/>
      <w:r>
        <w:t xml:space="preserve"> za naplaćene tuđe prihode - izdvajanje sredstava od prijediplomskih i diplomskih upisnina za ak. </w:t>
      </w:r>
      <w:proofErr w:type="gramStart"/>
      <w:r>
        <w:t>god</w:t>
      </w:r>
      <w:proofErr w:type="gramEnd"/>
      <w:r>
        <w:t>. 2025/2026 za Svečilište u Rijeci 44.102,56 eur,</w:t>
      </w:r>
    </w:p>
    <w:p w:rsidR="000E6FBB" w:rsidRDefault="002B75C4">
      <w:r>
        <w:t>-</w:t>
      </w:r>
      <w:proofErr w:type="gramStart"/>
      <w:r>
        <w:t>obveze</w:t>
      </w:r>
      <w:proofErr w:type="gramEnd"/>
      <w:r>
        <w:t xml:space="preserve"> za naplaćene tuđe prihode - izdvajanje sredstava od poslijediplomskih upisnina za ak. </w:t>
      </w:r>
      <w:proofErr w:type="gramStart"/>
      <w:r>
        <w:t>god</w:t>
      </w:r>
      <w:proofErr w:type="gramEnd"/>
      <w:r>
        <w:t>. 2025/2026 za Svečilište u Rijeci 1.986,20 eur,</w:t>
      </w:r>
    </w:p>
    <w:p w:rsidR="000E6FBB" w:rsidRDefault="002B75C4">
      <w:r>
        <w:t xml:space="preserve">-obveze za EU predujmove </w:t>
      </w:r>
      <w:proofErr w:type="gramStart"/>
      <w:r>
        <w:t>dane</w:t>
      </w:r>
      <w:proofErr w:type="gramEnd"/>
      <w:r>
        <w:t xml:space="preserve"> iz državnog proračuna 21.439,92 eur,</w:t>
      </w:r>
    </w:p>
    <w:p w:rsidR="000E6FBB" w:rsidRDefault="002B75C4">
      <w:r>
        <w:t>-obveze za povrat u proračun-bolovanje HZZO</w:t>
      </w:r>
      <w:r>
        <w:t xml:space="preserve"> 1.915,12 </w:t>
      </w:r>
      <w:proofErr w:type="gramStart"/>
      <w:r>
        <w:t>eur</w:t>
      </w:r>
      <w:proofErr w:type="gramEnd"/>
      <w:r>
        <w:t>.</w:t>
      </w:r>
    </w:p>
    <w:p w:rsidR="000E6FBB" w:rsidRDefault="000E6FBB"/>
    <w:p w:rsidR="000E6FBB" w:rsidRDefault="002B75C4">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29</w:t>
            </w:r>
          </w:p>
        </w:tc>
        <w:tc>
          <w:tcPr>
            <w:tcW w:w="3180" w:type="dxa"/>
            <w:tcMar>
              <w:top w:w="0" w:type="dxa"/>
              <w:bottom w:w="0" w:type="dxa"/>
            </w:tcMar>
            <w:vAlign w:val="center"/>
          </w:tcPr>
          <w:p w:rsidR="000E6FBB" w:rsidRDefault="002B75C4">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rsidR="000E6FBB" w:rsidRDefault="002B75C4">
            <w:pPr>
              <w:keepNext/>
              <w:keepLines/>
              <w:spacing w:after="0" w:line="240" w:lineRule="auto"/>
            </w:pPr>
            <w:r>
              <w:rPr>
                <w:sz w:val="18"/>
              </w:rPr>
              <w:t>29</w:t>
            </w:r>
          </w:p>
        </w:tc>
        <w:tc>
          <w:tcPr>
            <w:tcW w:w="1860" w:type="dxa"/>
            <w:tcMar>
              <w:top w:w="0" w:type="dxa"/>
              <w:bottom w:w="0" w:type="dxa"/>
            </w:tcMar>
            <w:vAlign w:val="center"/>
          </w:tcPr>
          <w:p w:rsidR="000E6FBB" w:rsidRDefault="002B75C4">
            <w:pPr>
              <w:keepNext/>
              <w:keepLines/>
              <w:spacing w:after="0" w:line="240" w:lineRule="auto"/>
              <w:jc w:val="right"/>
            </w:pPr>
            <w:r>
              <w:rPr>
                <w:sz w:val="18"/>
              </w:rPr>
              <w:t>337.912,65</w:t>
            </w:r>
          </w:p>
        </w:tc>
        <w:tc>
          <w:tcPr>
            <w:tcW w:w="1860" w:type="dxa"/>
            <w:tcMar>
              <w:top w:w="0" w:type="dxa"/>
              <w:bottom w:w="0" w:type="dxa"/>
            </w:tcMar>
            <w:vAlign w:val="center"/>
          </w:tcPr>
          <w:p w:rsidR="000E6FBB" w:rsidRDefault="002B75C4">
            <w:pPr>
              <w:keepNext/>
              <w:keepLines/>
              <w:spacing w:after="0" w:line="240" w:lineRule="auto"/>
              <w:jc w:val="right"/>
            </w:pPr>
            <w:r>
              <w:rPr>
                <w:sz w:val="18"/>
              </w:rPr>
              <w:t>370.236,21</w:t>
            </w:r>
          </w:p>
        </w:tc>
        <w:tc>
          <w:tcPr>
            <w:tcW w:w="700" w:type="dxa"/>
            <w:tcMar>
              <w:top w:w="0" w:type="dxa"/>
              <w:bottom w:w="0" w:type="dxa"/>
            </w:tcMar>
            <w:vAlign w:val="center"/>
          </w:tcPr>
          <w:p w:rsidR="000E6FBB" w:rsidRDefault="002B75C4">
            <w:pPr>
              <w:keepNext/>
              <w:keepLines/>
              <w:spacing w:after="0" w:line="240" w:lineRule="auto"/>
              <w:jc w:val="right"/>
            </w:pPr>
            <w:r>
              <w:rPr>
                <w:sz w:val="18"/>
              </w:rPr>
              <w:t>109,6</w:t>
            </w:r>
          </w:p>
        </w:tc>
      </w:tr>
    </w:tbl>
    <w:p w:rsidR="000E6FBB" w:rsidRDefault="000E6FBB">
      <w:pPr>
        <w:spacing w:after="0"/>
      </w:pPr>
    </w:p>
    <w:p w:rsidR="000E6FBB" w:rsidRDefault="002B75C4">
      <w:r>
        <w:t>Odgođeno plaćanje rashoda i prihodi budućih razdoblja, (pasivna vremenska razgraničenja), na računu 292 Naplaćeni prihodi budućih razdoblja, u iznosu 370.236,21 eur sadržani su prihodi prijediplomske (357.486</w:t>
      </w:r>
      <w:proofErr w:type="gramStart"/>
      <w:r>
        <w:t>,21</w:t>
      </w:r>
      <w:proofErr w:type="gramEnd"/>
      <w:r>
        <w:t xml:space="preserve"> eur) i poslijediplomske nastave (12.750 eu</w:t>
      </w:r>
      <w:r>
        <w:t xml:space="preserve">r), koji se odnose na razdoblje siječanj-rujan 2026. </w:t>
      </w:r>
      <w:proofErr w:type="gramStart"/>
      <w:r>
        <w:t>godine</w:t>
      </w:r>
      <w:proofErr w:type="gramEnd"/>
      <w:r>
        <w:t>.  </w:t>
      </w:r>
    </w:p>
    <w:p w:rsidR="000E6FBB" w:rsidRDefault="000E6FBB"/>
    <w:p w:rsidR="000E6FBB" w:rsidRDefault="002B75C4">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9221</w:t>
            </w:r>
          </w:p>
        </w:tc>
        <w:tc>
          <w:tcPr>
            <w:tcW w:w="3180" w:type="dxa"/>
            <w:tcMar>
              <w:top w:w="0" w:type="dxa"/>
              <w:bottom w:w="0" w:type="dxa"/>
            </w:tcMar>
            <w:vAlign w:val="center"/>
          </w:tcPr>
          <w:p w:rsidR="000E6FBB" w:rsidRDefault="002B75C4">
            <w:pPr>
              <w:keepNext/>
              <w:keepLines/>
              <w:spacing w:after="0" w:line="240" w:lineRule="auto"/>
            </w:pPr>
            <w:r>
              <w:rPr>
                <w:sz w:val="18"/>
              </w:rPr>
              <w:t>Višak prihoda i primitaka (šifre 92211 do 92213)</w:t>
            </w:r>
          </w:p>
        </w:tc>
        <w:tc>
          <w:tcPr>
            <w:tcW w:w="700" w:type="dxa"/>
            <w:tcMar>
              <w:top w:w="0" w:type="dxa"/>
              <w:bottom w:w="0" w:type="dxa"/>
            </w:tcMar>
            <w:vAlign w:val="center"/>
          </w:tcPr>
          <w:p w:rsidR="000E6FBB" w:rsidRDefault="002B75C4">
            <w:pPr>
              <w:keepNext/>
              <w:keepLines/>
              <w:spacing w:after="0" w:line="240" w:lineRule="auto"/>
            </w:pPr>
            <w:r>
              <w:rPr>
                <w:sz w:val="18"/>
              </w:rPr>
              <w:t>9221</w:t>
            </w:r>
          </w:p>
        </w:tc>
        <w:tc>
          <w:tcPr>
            <w:tcW w:w="1860" w:type="dxa"/>
            <w:tcMar>
              <w:top w:w="0" w:type="dxa"/>
              <w:bottom w:w="0" w:type="dxa"/>
            </w:tcMar>
            <w:vAlign w:val="center"/>
          </w:tcPr>
          <w:p w:rsidR="000E6FBB" w:rsidRDefault="002B75C4">
            <w:pPr>
              <w:keepNext/>
              <w:keepLines/>
              <w:spacing w:after="0" w:line="240" w:lineRule="auto"/>
              <w:jc w:val="right"/>
            </w:pPr>
            <w:r>
              <w:rPr>
                <w:sz w:val="18"/>
              </w:rPr>
              <w:t>2.801.270,42</w:t>
            </w:r>
          </w:p>
        </w:tc>
        <w:tc>
          <w:tcPr>
            <w:tcW w:w="1860" w:type="dxa"/>
            <w:tcMar>
              <w:top w:w="0" w:type="dxa"/>
              <w:bottom w:w="0" w:type="dxa"/>
            </w:tcMar>
            <w:vAlign w:val="center"/>
          </w:tcPr>
          <w:p w:rsidR="000E6FBB" w:rsidRDefault="002B75C4">
            <w:pPr>
              <w:keepNext/>
              <w:keepLines/>
              <w:spacing w:after="0" w:line="240" w:lineRule="auto"/>
              <w:jc w:val="right"/>
            </w:pPr>
            <w:r>
              <w:rPr>
                <w:sz w:val="18"/>
              </w:rPr>
              <w:t>1.563.084,00</w:t>
            </w:r>
          </w:p>
        </w:tc>
        <w:tc>
          <w:tcPr>
            <w:tcW w:w="700" w:type="dxa"/>
            <w:tcMar>
              <w:top w:w="0" w:type="dxa"/>
              <w:bottom w:w="0" w:type="dxa"/>
            </w:tcMar>
            <w:vAlign w:val="center"/>
          </w:tcPr>
          <w:p w:rsidR="000E6FBB" w:rsidRDefault="002B75C4">
            <w:pPr>
              <w:keepNext/>
              <w:keepLines/>
              <w:spacing w:after="0" w:line="240" w:lineRule="auto"/>
              <w:jc w:val="right"/>
            </w:pPr>
            <w:r>
              <w:rPr>
                <w:sz w:val="18"/>
              </w:rPr>
              <w:t>55,8</w:t>
            </w:r>
          </w:p>
        </w:tc>
      </w:tr>
    </w:tbl>
    <w:p w:rsidR="000E6FBB" w:rsidRDefault="000E6FBB">
      <w:pPr>
        <w:spacing w:after="0"/>
      </w:pPr>
    </w:p>
    <w:p w:rsidR="000E6FBB" w:rsidRDefault="002B75C4">
      <w:r>
        <w:t xml:space="preserve">Na šifri 9221 Višak prihoda i šifri 9222 Manjak prihoda provedena je </w:t>
      </w:r>
      <w:proofErr w:type="gramStart"/>
      <w:r>
        <w:t>na</w:t>
      </w:r>
      <w:proofErr w:type="gramEnd"/>
      <w:r>
        <w:t xml:space="preserve"> dan 31.12.2025. </w:t>
      </w:r>
      <w:proofErr w:type="gramStart"/>
      <w:r>
        <w:t>obavezna</w:t>
      </w:r>
      <w:proofErr w:type="gramEnd"/>
      <w:r>
        <w:t xml:space="preserve"> korekcija rezultata za iznose kapitalnih prijenosa sredstava u iznosu 103.076,97 eur jer su prihodima poslovanja financirani rashodi za nabavu nefinancijske </w:t>
      </w:r>
      <w:r>
        <w:t xml:space="preserve">imovine-uredska i laboratorijska oprema. Viškom </w:t>
      </w:r>
      <w:proofErr w:type="gramStart"/>
      <w:r>
        <w:t>od</w:t>
      </w:r>
      <w:proofErr w:type="gramEnd"/>
      <w:r>
        <w:t xml:space="preserve"> poslovanja pokriven je nastali manjak od nefinancijske imovine, odnosno za isti iznos umanjuje se višak prihoda poslovanja 92211 i manjak prihoda od nefinancijske imovine 92222. </w:t>
      </w:r>
    </w:p>
    <w:p w:rsidR="000E6FBB" w:rsidRDefault="002B75C4">
      <w:r>
        <w:t> </w:t>
      </w:r>
    </w:p>
    <w:p w:rsidR="000E6FBB" w:rsidRDefault="000E6FBB"/>
    <w:p w:rsidR="000E6FBB" w:rsidRDefault="002B75C4">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w:t>
            </w:r>
            <w:r>
              <w:rPr>
                <w:b/>
                <w:sz w:val="18"/>
              </w:rPr>
              <w:t>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991</w:t>
            </w:r>
          </w:p>
        </w:tc>
        <w:tc>
          <w:tcPr>
            <w:tcW w:w="3180" w:type="dxa"/>
            <w:tcMar>
              <w:top w:w="0" w:type="dxa"/>
              <w:bottom w:w="0" w:type="dxa"/>
            </w:tcMar>
            <w:vAlign w:val="center"/>
          </w:tcPr>
          <w:p w:rsidR="000E6FBB" w:rsidRDefault="002B75C4">
            <w:pPr>
              <w:keepNext/>
              <w:keepLines/>
              <w:spacing w:after="0" w:line="240" w:lineRule="auto"/>
            </w:pPr>
            <w:r>
              <w:rPr>
                <w:sz w:val="18"/>
              </w:rPr>
              <w:t>Izvanbilančni zapisi - aktiva (šifra 996)</w:t>
            </w:r>
          </w:p>
        </w:tc>
        <w:tc>
          <w:tcPr>
            <w:tcW w:w="700" w:type="dxa"/>
            <w:tcMar>
              <w:top w:w="0" w:type="dxa"/>
              <w:bottom w:w="0" w:type="dxa"/>
            </w:tcMar>
            <w:vAlign w:val="center"/>
          </w:tcPr>
          <w:p w:rsidR="000E6FBB" w:rsidRDefault="002B75C4">
            <w:pPr>
              <w:keepNext/>
              <w:keepLines/>
              <w:spacing w:after="0" w:line="240" w:lineRule="auto"/>
            </w:pPr>
            <w:r>
              <w:rPr>
                <w:sz w:val="18"/>
              </w:rPr>
              <w:t>991</w:t>
            </w:r>
          </w:p>
        </w:tc>
        <w:tc>
          <w:tcPr>
            <w:tcW w:w="1860" w:type="dxa"/>
            <w:tcMar>
              <w:top w:w="0" w:type="dxa"/>
              <w:bottom w:w="0" w:type="dxa"/>
            </w:tcMar>
            <w:vAlign w:val="center"/>
          </w:tcPr>
          <w:p w:rsidR="000E6FBB" w:rsidRDefault="002B75C4">
            <w:pPr>
              <w:keepNext/>
              <w:keepLines/>
              <w:spacing w:after="0" w:line="240" w:lineRule="auto"/>
              <w:jc w:val="right"/>
            </w:pPr>
            <w:r>
              <w:rPr>
                <w:sz w:val="18"/>
              </w:rPr>
              <w:t>68.367,13</w:t>
            </w:r>
          </w:p>
        </w:tc>
        <w:tc>
          <w:tcPr>
            <w:tcW w:w="1860" w:type="dxa"/>
            <w:tcMar>
              <w:top w:w="0" w:type="dxa"/>
              <w:bottom w:w="0" w:type="dxa"/>
            </w:tcMar>
            <w:vAlign w:val="center"/>
          </w:tcPr>
          <w:p w:rsidR="000E6FBB" w:rsidRDefault="002B75C4">
            <w:pPr>
              <w:keepNext/>
              <w:keepLines/>
              <w:spacing w:after="0" w:line="240" w:lineRule="auto"/>
              <w:jc w:val="right"/>
            </w:pPr>
            <w:r>
              <w:rPr>
                <w:sz w:val="18"/>
              </w:rPr>
              <w:t>137.337,24</w:t>
            </w:r>
          </w:p>
        </w:tc>
        <w:tc>
          <w:tcPr>
            <w:tcW w:w="700" w:type="dxa"/>
            <w:tcMar>
              <w:top w:w="0" w:type="dxa"/>
              <w:bottom w:w="0" w:type="dxa"/>
            </w:tcMar>
            <w:vAlign w:val="center"/>
          </w:tcPr>
          <w:p w:rsidR="000E6FBB" w:rsidRDefault="002B75C4">
            <w:pPr>
              <w:keepNext/>
              <w:keepLines/>
              <w:spacing w:after="0" w:line="240" w:lineRule="auto"/>
              <w:jc w:val="right"/>
            </w:pPr>
            <w:r>
              <w:rPr>
                <w:sz w:val="18"/>
              </w:rPr>
              <w:t>200,9</w:t>
            </w:r>
          </w:p>
        </w:tc>
      </w:tr>
    </w:tbl>
    <w:p w:rsidR="000E6FBB" w:rsidRDefault="000E6FBB">
      <w:pPr>
        <w:spacing w:after="0"/>
      </w:pPr>
    </w:p>
    <w:p w:rsidR="000E6FBB" w:rsidRDefault="002B75C4">
      <w:r>
        <w:t>U izvanbilančnim zapisima (šifra 991 i 996), u iznosu 137.337,24 eur evidentirani su: </w:t>
      </w:r>
    </w:p>
    <w:p w:rsidR="000E6FBB" w:rsidRDefault="002B75C4">
      <w:r>
        <w:t>-primljeni instrumenti osiguranja plaćanja 40.641,72 eur (u privitku broj 1 daje se popis instrumenata osiguranja plaćanja);</w:t>
      </w:r>
    </w:p>
    <w:p w:rsidR="000E6FBB" w:rsidRDefault="002B75C4">
      <w:r>
        <w:t>-potraživanja po ugovorima o dodijeljenim bespovratnim sredstvima iz EU fondova 96.695,52 eur;</w:t>
      </w:r>
    </w:p>
    <w:p w:rsidR="000E6FBB" w:rsidRDefault="002B75C4">
      <w:r>
        <w:t xml:space="preserve">-tuđa imovina dobivena </w:t>
      </w:r>
      <w:proofErr w:type="gramStart"/>
      <w:r>
        <w:t>na</w:t>
      </w:r>
      <w:proofErr w:type="gramEnd"/>
      <w:r>
        <w:t xml:space="preserve"> korištenje</w:t>
      </w:r>
      <w:r>
        <w:t xml:space="preserve"> nabavne vrijednosti 156.897,27 eur, nema sadašnje vrijednosti. </w:t>
      </w:r>
    </w:p>
    <w:p w:rsidR="000E6FBB" w:rsidRDefault="000E6FBB"/>
    <w:p w:rsidR="000E6FBB" w:rsidRDefault="002B75C4">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dio 16</w:t>
            </w:r>
          </w:p>
        </w:tc>
        <w:tc>
          <w:tcPr>
            <w:tcW w:w="3180" w:type="dxa"/>
            <w:tcMar>
              <w:top w:w="0" w:type="dxa"/>
              <w:bottom w:w="0" w:type="dxa"/>
            </w:tcMar>
            <w:vAlign w:val="center"/>
          </w:tcPr>
          <w:p w:rsidR="000E6FBB" w:rsidRDefault="002B75C4">
            <w:pPr>
              <w:keepNext/>
              <w:keepLines/>
              <w:spacing w:after="0" w:line="240" w:lineRule="auto"/>
            </w:pPr>
            <w:r>
              <w:rPr>
                <w:sz w:val="18"/>
              </w:rPr>
              <w:t>Potraživanja za prihode poslovanja - dospjela</w:t>
            </w:r>
          </w:p>
        </w:tc>
        <w:tc>
          <w:tcPr>
            <w:tcW w:w="700" w:type="dxa"/>
            <w:tcMar>
              <w:top w:w="0" w:type="dxa"/>
              <w:bottom w:w="0" w:type="dxa"/>
            </w:tcMar>
            <w:vAlign w:val="center"/>
          </w:tcPr>
          <w:p w:rsidR="000E6FBB" w:rsidRDefault="002B75C4">
            <w:pPr>
              <w:keepNext/>
              <w:keepLines/>
              <w:spacing w:after="0" w:line="240" w:lineRule="auto"/>
            </w:pPr>
            <w:r>
              <w:rPr>
                <w:sz w:val="18"/>
              </w:rPr>
              <w:t>dio 16 D</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7.291,75</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 xml:space="preserve">Potraživanja za prihode </w:t>
      </w:r>
      <w:proofErr w:type="gramStart"/>
      <w:r>
        <w:t>od</w:t>
      </w:r>
      <w:proofErr w:type="gramEnd"/>
      <w:r>
        <w:t xml:space="preserve"> pruženih usluga – dospjela:</w:t>
      </w:r>
    </w:p>
    <w:p w:rsidR="000E6FBB" w:rsidRDefault="002B75C4">
      <w:r>
        <w:t xml:space="preserve">3. </w:t>
      </w:r>
      <w:proofErr w:type="gramStart"/>
      <w:r>
        <w:t>maj</w:t>
      </w:r>
      <w:proofErr w:type="gramEnd"/>
      <w:r>
        <w:t xml:space="preserve"> brodogradilište d.d.  6.250,00 eur, valuta 24.02.2025.</w:t>
      </w:r>
    </w:p>
    <w:p w:rsidR="000E6FBB" w:rsidRDefault="002B75C4">
      <w:r>
        <w:t>SGS Adriatica d.o.o.  381</w:t>
      </w:r>
      <w:proofErr w:type="gramStart"/>
      <w:r>
        <w:t>,75</w:t>
      </w:r>
      <w:proofErr w:type="gramEnd"/>
      <w:r>
        <w:t xml:space="preserve"> eur, valuta 28.12.2025.</w:t>
      </w:r>
    </w:p>
    <w:p w:rsidR="000E6FBB" w:rsidRDefault="002B75C4">
      <w:r>
        <w:t>Vulkan-Nova d.o.o. 660</w:t>
      </w:r>
      <w:proofErr w:type="gramStart"/>
      <w:r>
        <w:t>,00</w:t>
      </w:r>
      <w:proofErr w:type="gramEnd"/>
      <w:r>
        <w:t xml:space="preserve"> eur, valuta 27.11.2025.</w:t>
      </w:r>
    </w:p>
    <w:p w:rsidR="000E6FBB" w:rsidRDefault="000E6FBB"/>
    <w:p w:rsidR="000E6FBB" w:rsidRDefault="002B75C4">
      <w:pPr>
        <w:keepNext/>
        <w:spacing w:line="240" w:lineRule="auto"/>
        <w:jc w:val="center"/>
      </w:pPr>
      <w:r>
        <w:rPr>
          <w:b/>
          <w:sz w:val="28"/>
        </w:rPr>
        <w:lastRenderedPageBreak/>
        <w:t>Izvještaj o rashodima prema funkcij</w:t>
      </w:r>
      <w:r>
        <w:rPr>
          <w:b/>
          <w:sz w:val="28"/>
        </w:rPr>
        <w:t>skoj klasifikaciji</w:t>
      </w:r>
    </w:p>
    <w:p w:rsidR="000E6FBB" w:rsidRDefault="002B75C4">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09</w:t>
            </w:r>
          </w:p>
        </w:tc>
        <w:tc>
          <w:tcPr>
            <w:tcW w:w="3180" w:type="dxa"/>
            <w:tcMar>
              <w:top w:w="0" w:type="dxa"/>
              <w:bottom w:w="0" w:type="dxa"/>
            </w:tcMar>
            <w:vAlign w:val="center"/>
          </w:tcPr>
          <w:p w:rsidR="000E6FBB" w:rsidRDefault="002B75C4">
            <w:pPr>
              <w:keepNext/>
              <w:keepLines/>
              <w:spacing w:after="0" w:line="240" w:lineRule="auto"/>
            </w:pPr>
            <w:r>
              <w:rPr>
                <w:sz w:val="18"/>
              </w:rPr>
              <w:t>Obrazovanje (šifre 091+092+093+094+095+096+097+098)</w:t>
            </w:r>
          </w:p>
        </w:tc>
        <w:tc>
          <w:tcPr>
            <w:tcW w:w="700" w:type="dxa"/>
            <w:tcMar>
              <w:top w:w="0" w:type="dxa"/>
              <w:bottom w:w="0" w:type="dxa"/>
            </w:tcMar>
            <w:vAlign w:val="center"/>
          </w:tcPr>
          <w:p w:rsidR="000E6FBB" w:rsidRDefault="002B75C4">
            <w:pPr>
              <w:keepNext/>
              <w:keepLines/>
              <w:spacing w:after="0" w:line="240" w:lineRule="auto"/>
            </w:pPr>
            <w:r>
              <w:rPr>
                <w:sz w:val="18"/>
              </w:rPr>
              <w:t>09</w:t>
            </w:r>
          </w:p>
        </w:tc>
        <w:tc>
          <w:tcPr>
            <w:tcW w:w="1860" w:type="dxa"/>
            <w:tcMar>
              <w:top w:w="0" w:type="dxa"/>
              <w:bottom w:w="0" w:type="dxa"/>
            </w:tcMar>
            <w:vAlign w:val="center"/>
          </w:tcPr>
          <w:p w:rsidR="000E6FBB" w:rsidRDefault="002B75C4">
            <w:pPr>
              <w:keepNext/>
              <w:keepLines/>
              <w:spacing w:after="0" w:line="240" w:lineRule="auto"/>
              <w:jc w:val="right"/>
            </w:pPr>
            <w:r>
              <w:rPr>
                <w:sz w:val="18"/>
              </w:rPr>
              <w:t>10.042.626,58</w:t>
            </w:r>
          </w:p>
        </w:tc>
        <w:tc>
          <w:tcPr>
            <w:tcW w:w="1860" w:type="dxa"/>
            <w:tcMar>
              <w:top w:w="0" w:type="dxa"/>
              <w:bottom w:w="0" w:type="dxa"/>
            </w:tcMar>
            <w:vAlign w:val="center"/>
          </w:tcPr>
          <w:p w:rsidR="000E6FBB" w:rsidRDefault="002B75C4">
            <w:pPr>
              <w:keepNext/>
              <w:keepLines/>
              <w:spacing w:after="0" w:line="240" w:lineRule="auto"/>
              <w:jc w:val="right"/>
            </w:pPr>
            <w:r>
              <w:rPr>
                <w:sz w:val="18"/>
              </w:rPr>
              <w:t>11.627.890,33</w:t>
            </w:r>
          </w:p>
        </w:tc>
        <w:tc>
          <w:tcPr>
            <w:tcW w:w="700" w:type="dxa"/>
            <w:tcMar>
              <w:top w:w="0" w:type="dxa"/>
              <w:bottom w:w="0" w:type="dxa"/>
            </w:tcMar>
            <w:vAlign w:val="center"/>
          </w:tcPr>
          <w:p w:rsidR="000E6FBB" w:rsidRDefault="002B75C4">
            <w:pPr>
              <w:keepNext/>
              <w:keepLines/>
              <w:spacing w:after="0" w:line="240" w:lineRule="auto"/>
              <w:jc w:val="right"/>
            </w:pPr>
            <w:r>
              <w:rPr>
                <w:sz w:val="18"/>
              </w:rPr>
              <w:t>115,8</w:t>
            </w:r>
          </w:p>
        </w:tc>
      </w:tr>
    </w:tbl>
    <w:p w:rsidR="000E6FBB" w:rsidRDefault="000E6FBB">
      <w:pPr>
        <w:spacing w:after="0"/>
      </w:pPr>
    </w:p>
    <w:p w:rsidR="000E6FBB" w:rsidRDefault="002B75C4">
      <w:r>
        <w:t xml:space="preserve">Ukupni rashodi Tehničkog fakulteta Rijeka u 2025. </w:t>
      </w:r>
      <w:proofErr w:type="gramStart"/>
      <w:r>
        <w:t>god</w:t>
      </w:r>
      <w:proofErr w:type="gramEnd"/>
      <w:r>
        <w:t xml:space="preserve">. </w:t>
      </w:r>
      <w:proofErr w:type="gramStart"/>
      <w:r>
        <w:t>u</w:t>
      </w:r>
      <w:proofErr w:type="gramEnd"/>
      <w:r>
        <w:t xml:space="preserve"> iznosu 11.627.890,33 eur prema funkcijskoj klasifikaciji odnose se na Obrazovanje (šifra 09), od čega su rashodi ključne funkcije Fakulteta – Visoke naobrazbe (šifra 094) 10.186</w:t>
      </w:r>
      <w:r>
        <w:t>.964,41 eur.</w:t>
      </w:r>
    </w:p>
    <w:p w:rsidR="000E6FBB" w:rsidRDefault="002B75C4">
      <w:r>
        <w:t xml:space="preserve">Rashodi obrazovanja koje se ne može definirati po stupnju (šifra 095) iznose 2.676,26 eur, </w:t>
      </w:r>
      <w:proofErr w:type="gramStart"/>
      <w:r>
        <w:t>a</w:t>
      </w:r>
      <w:proofErr w:type="gramEnd"/>
      <w:r>
        <w:t xml:space="preserve"> obuhvaćaju obrazovne programe uglavnom za odrasle, za koje nije potrebna prethodna obuka (rashodi cjeloživotnog obrazovanja i tečajeva). </w:t>
      </w:r>
    </w:p>
    <w:p w:rsidR="000E6FBB" w:rsidRDefault="002B75C4">
      <w:r>
        <w:t>Rashodi istr</w:t>
      </w:r>
      <w:r>
        <w:t>aživanja i razvoja obrazovanja (šifra 097) u ukupnom iznosu 1.438.249</w:t>
      </w:r>
      <w:proofErr w:type="gramStart"/>
      <w:r>
        <w:t>,66</w:t>
      </w:r>
      <w:proofErr w:type="gramEnd"/>
      <w:r>
        <w:t xml:space="preserve"> eur obuhvaćaju rashode znanstveno-istraživačkih i stručnih projekata koji su veći u odnosu na prethodnu godinu za 17%.</w:t>
      </w:r>
    </w:p>
    <w:p w:rsidR="000E6FBB" w:rsidRDefault="000E6FBB"/>
    <w:p w:rsidR="000E6FBB" w:rsidRDefault="002B75C4">
      <w:pPr>
        <w:keepNext/>
        <w:spacing w:line="240" w:lineRule="auto"/>
        <w:jc w:val="center"/>
      </w:pPr>
      <w:r>
        <w:rPr>
          <w:b/>
          <w:sz w:val="28"/>
        </w:rPr>
        <w:t>Promjene u vrijednosti i obujmu imovine i obveza</w:t>
      </w:r>
    </w:p>
    <w:p w:rsidR="000E6FBB" w:rsidRDefault="002B75C4">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91511</w:t>
            </w:r>
          </w:p>
        </w:tc>
        <w:tc>
          <w:tcPr>
            <w:tcW w:w="3180" w:type="dxa"/>
            <w:tcMar>
              <w:top w:w="0" w:type="dxa"/>
              <w:bottom w:w="0" w:type="dxa"/>
            </w:tcMar>
            <w:vAlign w:val="center"/>
          </w:tcPr>
          <w:p w:rsidR="000E6FBB" w:rsidRDefault="002B75C4">
            <w:pPr>
              <w:keepNext/>
              <w:keepLines/>
              <w:spacing w:after="0" w:line="240" w:lineRule="auto"/>
            </w:pPr>
            <w:r>
              <w:rPr>
                <w:sz w:val="18"/>
              </w:rPr>
              <w:t>Promjene u vrijednosti imovine (šifre P001+P008)</w:t>
            </w:r>
          </w:p>
        </w:tc>
        <w:tc>
          <w:tcPr>
            <w:tcW w:w="700" w:type="dxa"/>
            <w:tcMar>
              <w:top w:w="0" w:type="dxa"/>
              <w:bottom w:w="0" w:type="dxa"/>
            </w:tcMar>
            <w:vAlign w:val="center"/>
          </w:tcPr>
          <w:p w:rsidR="000E6FBB" w:rsidRDefault="002B75C4">
            <w:pPr>
              <w:keepNext/>
              <w:keepLines/>
              <w:spacing w:after="0" w:line="240" w:lineRule="auto"/>
            </w:pPr>
            <w:r>
              <w:rPr>
                <w:sz w:val="18"/>
              </w:rPr>
              <w:t>91511</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1860" w:type="dxa"/>
            <w:tcMar>
              <w:top w:w="0" w:type="dxa"/>
              <w:bottom w:w="0" w:type="dxa"/>
            </w:tcMar>
            <w:vAlign w:val="center"/>
          </w:tcPr>
          <w:p w:rsidR="000E6FBB" w:rsidRDefault="002B75C4">
            <w:pPr>
              <w:keepNext/>
              <w:keepLines/>
              <w:spacing w:after="0" w:line="240" w:lineRule="auto"/>
              <w:jc w:val="right"/>
            </w:pPr>
            <w:r>
              <w:rPr>
                <w:sz w:val="18"/>
              </w:rPr>
              <w:t>2.311,20</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 xml:space="preserve">Promjene u vrijednosti imovine u 2025. </w:t>
      </w:r>
      <w:proofErr w:type="gramStart"/>
      <w:r>
        <w:t>godini</w:t>
      </w:r>
      <w:proofErr w:type="gramEnd"/>
      <w:r>
        <w:t xml:space="preserve"> (91511) odnose se na smanjenje proizvedene dugotrajne imovine nastalo zbog rashodovanja neispravne, nekompletne i neupotrebive dugotrajne imovine koja se više ne koristi u iznosu od 986,46 eur (šifra P003).</w:t>
      </w:r>
    </w:p>
    <w:p w:rsidR="000E6FBB" w:rsidRDefault="002B75C4">
      <w:r>
        <w:t xml:space="preserve">Na </w:t>
      </w:r>
      <w:r>
        <w:t xml:space="preserve">smanjenje vrijednosti imovine utjecao je i rashod sitnog inventara u iznosu </w:t>
      </w:r>
      <w:proofErr w:type="gramStart"/>
      <w:r>
        <w:t>od</w:t>
      </w:r>
      <w:proofErr w:type="gramEnd"/>
      <w:r>
        <w:t xml:space="preserve"> 1.324,74 eur (šifra P005). </w:t>
      </w:r>
    </w:p>
    <w:p w:rsidR="000E6FBB" w:rsidRDefault="000E6FBB"/>
    <w:p w:rsidR="000E6FBB" w:rsidRDefault="002B75C4">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2B75C4">
            <w:pPr>
              <w:keepNext/>
              <w:keepLines/>
              <w:spacing w:after="0" w:line="240" w:lineRule="auto"/>
            </w:pPr>
            <w:r>
              <w:rPr>
                <w:sz w:val="18"/>
              </w:rPr>
              <w:t>91512</w:t>
            </w:r>
          </w:p>
        </w:tc>
        <w:tc>
          <w:tcPr>
            <w:tcW w:w="3180" w:type="dxa"/>
            <w:tcMar>
              <w:top w:w="0" w:type="dxa"/>
              <w:bottom w:w="0" w:type="dxa"/>
            </w:tcMar>
            <w:vAlign w:val="center"/>
          </w:tcPr>
          <w:p w:rsidR="000E6FBB" w:rsidRDefault="002B75C4">
            <w:pPr>
              <w:keepNext/>
              <w:keepLines/>
              <w:spacing w:after="0" w:line="240" w:lineRule="auto"/>
            </w:pPr>
            <w:r>
              <w:rPr>
                <w:sz w:val="18"/>
              </w:rPr>
              <w:t>Promjene u obujmu imovine (šifre P016+P023)</w:t>
            </w:r>
          </w:p>
        </w:tc>
        <w:tc>
          <w:tcPr>
            <w:tcW w:w="700" w:type="dxa"/>
            <w:tcMar>
              <w:top w:w="0" w:type="dxa"/>
              <w:bottom w:w="0" w:type="dxa"/>
            </w:tcMar>
            <w:vAlign w:val="center"/>
          </w:tcPr>
          <w:p w:rsidR="000E6FBB" w:rsidRDefault="002B75C4">
            <w:pPr>
              <w:keepNext/>
              <w:keepLines/>
              <w:spacing w:after="0" w:line="240" w:lineRule="auto"/>
            </w:pPr>
            <w:r>
              <w:rPr>
                <w:sz w:val="18"/>
              </w:rPr>
              <w:t>91512</w:t>
            </w:r>
          </w:p>
        </w:tc>
        <w:tc>
          <w:tcPr>
            <w:tcW w:w="1860" w:type="dxa"/>
            <w:tcMar>
              <w:top w:w="0" w:type="dxa"/>
              <w:bottom w:w="0" w:type="dxa"/>
            </w:tcMar>
            <w:vAlign w:val="center"/>
          </w:tcPr>
          <w:p w:rsidR="000E6FBB" w:rsidRDefault="002B75C4">
            <w:pPr>
              <w:keepNext/>
              <w:keepLines/>
              <w:spacing w:after="0" w:line="240" w:lineRule="auto"/>
              <w:jc w:val="right"/>
            </w:pPr>
            <w:r>
              <w:rPr>
                <w:sz w:val="18"/>
              </w:rPr>
              <w:t>31.510,24</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0</w:t>
            </w:r>
          </w:p>
        </w:tc>
      </w:tr>
    </w:tbl>
    <w:p w:rsidR="000E6FBB" w:rsidRDefault="000E6FBB">
      <w:pPr>
        <w:spacing w:after="0"/>
      </w:pPr>
    </w:p>
    <w:p w:rsidR="000E6FBB" w:rsidRDefault="002B75C4">
      <w:r>
        <w:t xml:space="preserve">Promjene u obujmu imovine u 2025. </w:t>
      </w:r>
      <w:proofErr w:type="gramStart"/>
      <w:r>
        <w:t>godini</w:t>
      </w:r>
      <w:proofErr w:type="gramEnd"/>
      <w:r>
        <w:t xml:space="preserve"> (91512) odnose se na povećanje za primljene donacije knjiga u iznosu od 1.006,20 eur, kao i primljenu donaciju opreme Sveučilišta u Rijeci u procjenjenoj vrijednosti od 30.504,04 eur. Prema Ugovoru o međusobnim prav</w:t>
      </w:r>
      <w:r>
        <w:t xml:space="preserve">ima i obvezama u postupanju prelaska zaposlenika, održavanja postojećih studija i osnivanja novih studija iz tehničkog područja između Sveučilišta u Rijeci i Tehničkog fakulteta </w:t>
      </w:r>
      <w:proofErr w:type="gramStart"/>
      <w:r>
        <w:t>od</w:t>
      </w:r>
      <w:proofErr w:type="gramEnd"/>
      <w:r>
        <w:t xml:space="preserve"> 17.09.2024. </w:t>
      </w:r>
      <w:proofErr w:type="gramStart"/>
      <w:r>
        <w:t>god.,</w:t>
      </w:r>
      <w:proofErr w:type="gramEnd"/>
      <w:r>
        <w:t xml:space="preserve"> 6 zaposlenika Studija politehnike pri Sveučilištu u Rijec</w:t>
      </w:r>
      <w:r>
        <w:t>i prešli su na Tehnički fakultet zajedno s opremom za znanstveni i nastavni rad, a u svrhu održavanja postojećih studija Politehnika i Politehnika i informatika, osnivanjem novih komplementarnih studija pri Tehničkom fakultetu u Rijeci.  (</w:t>
      </w:r>
      <w:proofErr w:type="gramStart"/>
      <w:r>
        <w:t>šifra</w:t>
      </w:r>
      <w:proofErr w:type="gramEnd"/>
      <w:r>
        <w:t xml:space="preserve"> P018). </w:t>
      </w:r>
    </w:p>
    <w:p w:rsidR="000E6FBB" w:rsidRDefault="000E6FBB"/>
    <w:p w:rsidR="000E6FBB" w:rsidRDefault="002B75C4">
      <w:pPr>
        <w:keepNext/>
        <w:spacing w:line="240" w:lineRule="auto"/>
        <w:jc w:val="center"/>
      </w:pPr>
      <w:r>
        <w:rPr>
          <w:b/>
          <w:sz w:val="28"/>
        </w:rPr>
        <w:t>Iz</w:t>
      </w:r>
      <w:r>
        <w:rPr>
          <w:b/>
          <w:sz w:val="28"/>
        </w:rPr>
        <w:t>vještaj o obvezama</w:t>
      </w:r>
    </w:p>
    <w:p w:rsidR="000E6FBB" w:rsidRDefault="002B75C4">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0E6FBB" w:rsidRDefault="002B75C4">
            <w:pPr>
              <w:keepNext/>
              <w:keepLines/>
              <w:spacing w:after="0" w:line="240" w:lineRule="auto"/>
            </w:pPr>
            <w:r>
              <w:rPr>
                <w:sz w:val="18"/>
              </w:rPr>
              <w:t>V006</w:t>
            </w:r>
          </w:p>
        </w:tc>
        <w:tc>
          <w:tcPr>
            <w:tcW w:w="1860" w:type="dxa"/>
            <w:tcMar>
              <w:top w:w="0" w:type="dxa"/>
              <w:bottom w:w="0" w:type="dxa"/>
            </w:tcMar>
            <w:vAlign w:val="center"/>
          </w:tcPr>
          <w:p w:rsidR="000E6FBB" w:rsidRDefault="002B75C4">
            <w:pPr>
              <w:keepNext/>
              <w:keepLines/>
              <w:spacing w:after="0" w:line="240" w:lineRule="auto"/>
              <w:jc w:val="right"/>
            </w:pPr>
            <w:r>
              <w:rPr>
                <w:sz w:val="18"/>
              </w:rPr>
              <w:t>864.989,86</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 xml:space="preserve">Stanje obveza </w:t>
      </w:r>
      <w:proofErr w:type="gramStart"/>
      <w:r>
        <w:t>na</w:t>
      </w:r>
      <w:proofErr w:type="gramEnd"/>
      <w:r>
        <w:t xml:space="preserve"> početku godine, na dan 1.1.2025. </w:t>
      </w:r>
      <w:proofErr w:type="gramStart"/>
      <w:r>
        <w:t>iznosilo</w:t>
      </w:r>
      <w:proofErr w:type="gramEnd"/>
      <w:r>
        <w:t xml:space="preserve"> je 861.905,12 eur (šifra V001).</w:t>
      </w:r>
    </w:p>
    <w:p w:rsidR="000E6FBB" w:rsidRDefault="002B75C4">
      <w:r>
        <w:t xml:space="preserve">Stanje nedospjelih obveza </w:t>
      </w:r>
      <w:proofErr w:type="gramStart"/>
      <w:r>
        <w:t>na</w:t>
      </w:r>
      <w:proofErr w:type="gramEnd"/>
      <w:r>
        <w:t xml:space="preserve"> kraju izvještajnog razdoblja, na dan 31.12.2025. </w:t>
      </w:r>
      <w:proofErr w:type="gramStart"/>
      <w:r>
        <w:t>iznosi</w:t>
      </w:r>
      <w:proofErr w:type="gramEnd"/>
      <w:r>
        <w:t xml:space="preserve"> 864.989,86 eur (šifra V006 i V009) i sadrži:</w:t>
      </w:r>
    </w:p>
    <w:p w:rsidR="000E6FBB" w:rsidRDefault="002B75C4">
      <w:r>
        <w:t>a)      Međusobne obveze proračunsk</w:t>
      </w:r>
      <w:r>
        <w:t xml:space="preserve">ih korisnika 85.715,80 eur, </w:t>
      </w:r>
      <w:proofErr w:type="gramStart"/>
      <w:r>
        <w:t>od</w:t>
      </w:r>
      <w:proofErr w:type="gramEnd"/>
      <w:r>
        <w:t xml:space="preserve"> čega: </w:t>
      </w:r>
    </w:p>
    <w:p w:rsidR="000E6FBB" w:rsidRDefault="002B75C4">
      <w:r>
        <w:lastRenderedPageBreak/>
        <w:t xml:space="preserve">23954 – </w:t>
      </w:r>
      <w:proofErr w:type="gramStart"/>
      <w:r>
        <w:t>ostale</w:t>
      </w:r>
      <w:proofErr w:type="gramEnd"/>
      <w:r>
        <w:t xml:space="preserve"> nespomenute obveze 11.250,00 eur (Sveučilište u Rijeci, povrat neutrošenih sredstava za projekt UniRi CLASS i UniRi mladi istraživači s dospijećem u 2026. godini);</w:t>
      </w:r>
    </w:p>
    <w:p w:rsidR="000E6FBB" w:rsidRDefault="002B75C4">
      <w:r>
        <w:t xml:space="preserve">27212 – </w:t>
      </w:r>
      <w:proofErr w:type="gramStart"/>
      <w:r>
        <w:t>obveze</w:t>
      </w:r>
      <w:proofErr w:type="gramEnd"/>
      <w:r>
        <w:t xml:space="preserve"> za jamčevne pologe 5.022</w:t>
      </w:r>
      <w:r>
        <w:t>,00 eur (Sveučilište u Rijeci, za uredno ispunjenje ugovora s dospijećem u 2026. godini);</w:t>
      </w:r>
    </w:p>
    <w:p w:rsidR="000E6FBB" w:rsidRDefault="002B75C4">
      <w:r>
        <w:t xml:space="preserve">27311 – </w:t>
      </w:r>
      <w:proofErr w:type="gramStart"/>
      <w:r>
        <w:t>obveze</w:t>
      </w:r>
      <w:proofErr w:type="gramEnd"/>
      <w:r>
        <w:t xml:space="preserve"> za naplaćene tuđe prihode u iznosu ukupno 46.088,76 eur (Sveučilište u Rijeci, obračun od upisnina za ak. god. 2025</w:t>
      </w:r>
      <w:proofErr w:type="gramStart"/>
      <w:r>
        <w:t>./</w:t>
      </w:r>
      <w:proofErr w:type="gramEnd"/>
      <w:r>
        <w:t xml:space="preserve">2026. </w:t>
      </w:r>
      <w:proofErr w:type="gramStart"/>
      <w:r>
        <w:t>s</w:t>
      </w:r>
      <w:proofErr w:type="gramEnd"/>
      <w:r>
        <w:t xml:space="preserve"> dospijećem u 2026. </w:t>
      </w:r>
      <w:proofErr w:type="gramStart"/>
      <w:r>
        <w:t xml:space="preserve">godini </w:t>
      </w:r>
      <w:r>
        <w:t>)</w:t>
      </w:r>
      <w:proofErr w:type="gramEnd"/>
      <w:r>
        <w:t>;</w:t>
      </w:r>
    </w:p>
    <w:p w:rsidR="000E6FBB" w:rsidRDefault="002B75C4">
      <w:r>
        <w:t xml:space="preserve">27521 – </w:t>
      </w:r>
      <w:proofErr w:type="gramStart"/>
      <w:r>
        <w:t>obveze</w:t>
      </w:r>
      <w:proofErr w:type="gramEnd"/>
      <w:r>
        <w:t xml:space="preserve"> za EU predujmove iz državnog proračuna u iznosu ukupno 21.439,92 eur (Ministarstvo znanosti, obrazovanja i mladih za projekt NPOO Nova generacija višejezgrenih digitalnih sustava upravljanja za nisko i srednjenaponske elektroničke energet</w:t>
      </w:r>
      <w:r>
        <w:t>ske pretvarače, NPOO.C3.2.R3-I1.02.0032 i projekt Inovativni pristup estimaciji parametara prijenosnog voda za primjenu u nadzornim, zaštitnim i mjernim sustavima; NPOO.C3.2.R3-I1.06.0234);</w:t>
      </w:r>
    </w:p>
    <w:p w:rsidR="000E6FBB" w:rsidRDefault="002B75C4">
      <w:r>
        <w:t xml:space="preserve">27612 – </w:t>
      </w:r>
      <w:proofErr w:type="gramStart"/>
      <w:r>
        <w:t>obveza</w:t>
      </w:r>
      <w:proofErr w:type="gramEnd"/>
      <w:r>
        <w:t xml:space="preserve"> za povrat u Državni proračun (bolovanje na teret HZ</w:t>
      </w:r>
      <w:r>
        <w:t>ZO preko 42 dana) u iznosu 1.915,12 eur;</w:t>
      </w:r>
    </w:p>
    <w:p w:rsidR="000E6FBB" w:rsidRDefault="002B75C4">
      <w:r>
        <w:t>b)      Obveze za rashode poslovanja:</w:t>
      </w:r>
    </w:p>
    <w:p w:rsidR="000E6FBB" w:rsidRDefault="002B75C4">
      <w:r>
        <w:t xml:space="preserve">231 – </w:t>
      </w:r>
      <w:proofErr w:type="gramStart"/>
      <w:r>
        <w:t>obveze</w:t>
      </w:r>
      <w:proofErr w:type="gramEnd"/>
      <w:r>
        <w:t xml:space="preserve"> za zaposlene u iznosu 729.091,17 eur, odnosno plaću za prosinac 2025. </w:t>
      </w:r>
      <w:proofErr w:type="gramStart"/>
      <w:r>
        <w:t>g</w:t>
      </w:r>
      <w:proofErr w:type="gramEnd"/>
      <w:r>
        <w:t xml:space="preserve">. koja je isplaćena u siječnju 2026. </w:t>
      </w:r>
      <w:proofErr w:type="gramStart"/>
      <w:r>
        <w:t>g</w:t>
      </w:r>
      <w:proofErr w:type="gramEnd"/>
      <w:r>
        <w:t>.; </w:t>
      </w:r>
    </w:p>
    <w:p w:rsidR="000E6FBB" w:rsidRDefault="002B75C4">
      <w:r>
        <w:t xml:space="preserve">232 – </w:t>
      </w:r>
      <w:proofErr w:type="gramStart"/>
      <w:r>
        <w:t>obveze</w:t>
      </w:r>
      <w:proofErr w:type="gramEnd"/>
      <w:r>
        <w:t xml:space="preserve"> za materijalne rashode 36.605,59 eur koji dospijevaju do kraja siječnja 2026.;</w:t>
      </w:r>
    </w:p>
    <w:p w:rsidR="000E6FBB" w:rsidRDefault="002B75C4">
      <w:r>
        <w:t xml:space="preserve">234 – </w:t>
      </w:r>
      <w:proofErr w:type="gramStart"/>
      <w:r>
        <w:t>obveze</w:t>
      </w:r>
      <w:proofErr w:type="gramEnd"/>
      <w:r>
        <w:t xml:space="preserve"> za financijske rashode 321,95 eur koji dospijevaju u siječnju 2026. </w:t>
      </w:r>
      <w:proofErr w:type="gramStart"/>
      <w:r>
        <w:t>g</w:t>
      </w:r>
      <w:proofErr w:type="gramEnd"/>
      <w:r>
        <w:t>.;</w:t>
      </w:r>
    </w:p>
    <w:p w:rsidR="000E6FBB" w:rsidRDefault="002B75C4">
      <w:r>
        <w:t xml:space="preserve">239 – </w:t>
      </w:r>
      <w:proofErr w:type="gramStart"/>
      <w:r>
        <w:t>ostale</w:t>
      </w:r>
      <w:proofErr w:type="gramEnd"/>
      <w:r>
        <w:t xml:space="preserve"> tekuće obveze ukupno 9.068,77 eur, od čega:</w:t>
      </w:r>
    </w:p>
    <w:p w:rsidR="000E6FBB" w:rsidRDefault="002B75C4">
      <w:r>
        <w:t xml:space="preserve">- </w:t>
      </w:r>
      <w:proofErr w:type="gramStart"/>
      <w:r>
        <w:t>obveza</w:t>
      </w:r>
      <w:proofErr w:type="gramEnd"/>
      <w:r>
        <w:t xml:space="preserve"> za PDV s dospijećem do kraja siječnja 2026. </w:t>
      </w:r>
      <w:proofErr w:type="gramStart"/>
      <w:r>
        <w:t>g</w:t>
      </w:r>
      <w:proofErr w:type="gramEnd"/>
      <w:r>
        <w:t>. u iznosu 8.469,90 eur, </w:t>
      </w:r>
    </w:p>
    <w:p w:rsidR="000E6FBB" w:rsidRDefault="002B75C4">
      <w:r>
        <w:t xml:space="preserve">- </w:t>
      </w:r>
      <w:proofErr w:type="gramStart"/>
      <w:r>
        <w:t>obveza</w:t>
      </w:r>
      <w:proofErr w:type="gramEnd"/>
      <w:r>
        <w:t xml:space="preserve"> s temelja plaćanja kreditnim karticama s dospijećem u siječnju 2026. </w:t>
      </w:r>
      <w:proofErr w:type="gramStart"/>
      <w:r>
        <w:t>g</w:t>
      </w:r>
      <w:proofErr w:type="gramEnd"/>
      <w:r>
        <w:t>. u iznosu 598,87 eur;</w:t>
      </w:r>
    </w:p>
    <w:p w:rsidR="000E6FBB" w:rsidRDefault="002B75C4">
      <w:r>
        <w:t>c)      Obveze za nabavu nefinancijske imovine:</w:t>
      </w:r>
    </w:p>
    <w:p w:rsidR="000E6FBB" w:rsidRDefault="002B75C4">
      <w:r>
        <w:t xml:space="preserve">242 – </w:t>
      </w:r>
      <w:proofErr w:type="gramStart"/>
      <w:r>
        <w:t>obveze</w:t>
      </w:r>
      <w:proofErr w:type="gramEnd"/>
      <w:r>
        <w:t xml:space="preserve"> za nabavu pro</w:t>
      </w:r>
      <w:r>
        <w:t xml:space="preserve">izvedene dugotrajne imovine u iznosu 3.586,58 eur, koje dospijevaju do kraja siječnja 2026. </w:t>
      </w:r>
      <w:proofErr w:type="gramStart"/>
      <w:r>
        <w:t>g</w:t>
      </w:r>
      <w:proofErr w:type="gramEnd"/>
      <w:r>
        <w:t>.</w:t>
      </w:r>
    </w:p>
    <w:p w:rsidR="000E6FBB" w:rsidRDefault="000E6FBB"/>
    <w:p w:rsidR="000E6FBB" w:rsidRDefault="002B75C4">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E6FBB">
        <w:tblPrEx>
          <w:tblCellMar>
            <w:top w:w="0" w:type="dxa"/>
            <w:bottom w:w="0" w:type="dxa"/>
          </w:tblCellMar>
        </w:tblPrEx>
        <w:trPr>
          <w:cantSplit/>
        </w:trPr>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E6FBB" w:rsidRDefault="002B75C4">
            <w:pPr>
              <w:keepNext/>
              <w:keepLines/>
              <w:spacing w:after="0" w:line="240" w:lineRule="auto"/>
              <w:jc w:val="center"/>
            </w:pPr>
            <w:r>
              <w:rPr>
                <w:b/>
                <w:sz w:val="18"/>
              </w:rPr>
              <w:t>Indeks (%)</w:t>
            </w:r>
          </w:p>
        </w:tc>
      </w:tr>
      <w:tr w:rsidR="000E6FBB">
        <w:tblPrEx>
          <w:tblCellMar>
            <w:top w:w="0" w:type="dxa"/>
            <w:bottom w:w="0" w:type="dxa"/>
          </w:tblCellMar>
        </w:tblPrEx>
        <w:trPr>
          <w:cantSplit/>
          <w:trHeight w:val="560"/>
        </w:trPr>
        <w:tc>
          <w:tcPr>
            <w:tcW w:w="700" w:type="dxa"/>
            <w:tcMar>
              <w:top w:w="0" w:type="dxa"/>
              <w:bottom w:w="0" w:type="dxa"/>
            </w:tcMar>
            <w:vAlign w:val="center"/>
          </w:tcPr>
          <w:p w:rsidR="000E6FBB" w:rsidRDefault="000E6FBB">
            <w:pPr>
              <w:keepNext/>
              <w:keepLines/>
              <w:spacing w:after="0" w:line="240" w:lineRule="auto"/>
            </w:pPr>
          </w:p>
        </w:tc>
        <w:tc>
          <w:tcPr>
            <w:tcW w:w="3180" w:type="dxa"/>
            <w:tcMar>
              <w:top w:w="0" w:type="dxa"/>
              <w:bottom w:w="0" w:type="dxa"/>
            </w:tcMar>
            <w:vAlign w:val="center"/>
          </w:tcPr>
          <w:p w:rsidR="000E6FBB" w:rsidRDefault="002B75C4">
            <w:pPr>
              <w:keepNext/>
              <w:keepLines/>
              <w:spacing w:after="0" w:line="240" w:lineRule="auto"/>
            </w:pPr>
            <w:r>
              <w:rPr>
                <w:sz w:val="18"/>
              </w:rPr>
              <w:t xml:space="preserve">Stanje dospjelih obveza na kraju izvještajnog razdoblja (šifre V008+D23+D24 + 'D dio </w:t>
            </w:r>
            <w:r>
              <w:rPr>
                <w:sz w:val="18"/>
              </w:rPr>
              <w:t>25,26' + D27)</w:t>
            </w:r>
          </w:p>
        </w:tc>
        <w:tc>
          <w:tcPr>
            <w:tcW w:w="700" w:type="dxa"/>
            <w:tcMar>
              <w:top w:w="0" w:type="dxa"/>
              <w:bottom w:w="0" w:type="dxa"/>
            </w:tcMar>
            <w:vAlign w:val="center"/>
          </w:tcPr>
          <w:p w:rsidR="000E6FBB" w:rsidRDefault="002B75C4">
            <w:pPr>
              <w:keepNext/>
              <w:keepLines/>
              <w:spacing w:after="0" w:line="240" w:lineRule="auto"/>
            </w:pPr>
            <w:r>
              <w:rPr>
                <w:sz w:val="18"/>
              </w:rPr>
              <w:t>V007</w:t>
            </w:r>
          </w:p>
        </w:tc>
        <w:tc>
          <w:tcPr>
            <w:tcW w:w="1860" w:type="dxa"/>
            <w:tcMar>
              <w:top w:w="0" w:type="dxa"/>
              <w:bottom w:w="0" w:type="dxa"/>
            </w:tcMar>
            <w:vAlign w:val="center"/>
          </w:tcPr>
          <w:p w:rsidR="000E6FBB" w:rsidRDefault="002B75C4">
            <w:pPr>
              <w:keepNext/>
              <w:keepLines/>
              <w:spacing w:after="0" w:line="240" w:lineRule="auto"/>
              <w:jc w:val="right"/>
            </w:pPr>
            <w:r>
              <w:rPr>
                <w:sz w:val="18"/>
              </w:rPr>
              <w:t>0,00</w:t>
            </w:r>
          </w:p>
        </w:tc>
        <w:tc>
          <w:tcPr>
            <w:tcW w:w="700" w:type="dxa"/>
            <w:tcMar>
              <w:top w:w="0" w:type="dxa"/>
              <w:bottom w:w="0" w:type="dxa"/>
            </w:tcMar>
            <w:vAlign w:val="center"/>
          </w:tcPr>
          <w:p w:rsidR="000E6FBB" w:rsidRDefault="002B75C4">
            <w:pPr>
              <w:keepNext/>
              <w:keepLines/>
              <w:spacing w:after="0" w:line="240" w:lineRule="auto"/>
              <w:jc w:val="right"/>
            </w:pPr>
            <w:r>
              <w:rPr>
                <w:sz w:val="18"/>
              </w:rPr>
              <w:t>-</w:t>
            </w:r>
          </w:p>
        </w:tc>
      </w:tr>
    </w:tbl>
    <w:p w:rsidR="000E6FBB" w:rsidRDefault="000E6FBB">
      <w:pPr>
        <w:spacing w:after="0"/>
      </w:pPr>
    </w:p>
    <w:p w:rsidR="000E6FBB" w:rsidRDefault="002B75C4">
      <w:r>
        <w:t xml:space="preserve">Stanje dospjelih obveza </w:t>
      </w:r>
      <w:proofErr w:type="gramStart"/>
      <w:r>
        <w:t>na</w:t>
      </w:r>
      <w:proofErr w:type="gramEnd"/>
      <w:r>
        <w:t xml:space="preserve"> kraju izvještajnog razdoblja, na dan 31.12.2025. </w:t>
      </w:r>
      <w:proofErr w:type="gramStart"/>
      <w:r>
        <w:t>iznosi</w:t>
      </w:r>
      <w:proofErr w:type="gramEnd"/>
      <w:r>
        <w:t xml:space="preserve"> 0,00 eur.</w:t>
      </w:r>
    </w:p>
    <w:p w:rsidR="000E6FBB" w:rsidRDefault="000E6FBB"/>
    <w:p w:rsidR="000E6FBB" w:rsidRDefault="002B75C4">
      <w:pPr>
        <w:keepNext/>
        <w:spacing w:line="240" w:lineRule="auto"/>
        <w:jc w:val="center"/>
      </w:pPr>
      <w:r>
        <w:rPr>
          <w:sz w:val="28"/>
        </w:rPr>
        <w:t>Bilješka 53.</w:t>
      </w:r>
    </w:p>
    <w:p w:rsidR="000E6FBB" w:rsidRDefault="002B75C4">
      <w:pPr>
        <w:spacing w:line="240" w:lineRule="auto"/>
        <w:jc w:val="both"/>
      </w:pPr>
      <w:r>
        <w:rPr>
          <w:b/>
        </w:rPr>
        <w:t>EU izvještaj</w:t>
      </w:r>
    </w:p>
    <w:p w:rsidR="000E6FBB" w:rsidRDefault="002B75C4">
      <w:r>
        <w:t xml:space="preserve">U EU izvještaj unešeni su podaci za EU </w:t>
      </w:r>
      <w:proofErr w:type="gramStart"/>
      <w:r>
        <w:t>projekte :</w:t>
      </w:r>
      <w:proofErr w:type="gramEnd"/>
    </w:p>
    <w:p w:rsidR="000E6FBB" w:rsidRDefault="002B75C4">
      <w:proofErr w:type="gramStart"/>
      <w:r>
        <w:rPr>
          <w:b/>
        </w:rPr>
        <w:t>izvor</w:t>
      </w:r>
      <w:proofErr w:type="gramEnd"/>
      <w:r>
        <w:rPr>
          <w:b/>
        </w:rPr>
        <w:t xml:space="preserve"> 581</w:t>
      </w:r>
    </w:p>
    <w:p w:rsidR="000E6FBB" w:rsidRDefault="002B75C4">
      <w:r>
        <w:t>-Nova generac.višejezgrenih digit.sustava upravljanja za nisko i srednjenaponske elektoničke energetske pretvarače</w:t>
      </w:r>
      <w:proofErr w:type="gramStart"/>
      <w:r>
        <w:t>;</w:t>
      </w:r>
      <w:proofErr w:type="gramEnd"/>
      <w:r>
        <w:br/>
        <w:t>Kod projekta: NPOO.C3.2.R3-I1.02.0032NPOO </w:t>
      </w:r>
    </w:p>
    <w:p w:rsidR="000E6FBB" w:rsidRDefault="002B75C4">
      <w:r>
        <w:t>-Inovativni pristup estimaciji parametara prijenosnog voda za primjenu u nadzornim, zaštitnim i m</w:t>
      </w:r>
      <w:r>
        <w:t>jernim sustavima; NPOO.C3.2.R3-I1.06.0234</w:t>
      </w:r>
    </w:p>
    <w:p w:rsidR="000E6FBB" w:rsidRDefault="002B75C4">
      <w:r>
        <w:t>-HRZZ razvoj karijera DOK NPOO - 2023-10 </w:t>
      </w:r>
    </w:p>
    <w:p w:rsidR="000E6FBB" w:rsidRDefault="002B75C4">
      <w:proofErr w:type="gramStart"/>
      <w:r>
        <w:rPr>
          <w:b/>
        </w:rPr>
        <w:t>izvor</w:t>
      </w:r>
      <w:proofErr w:type="gramEnd"/>
      <w:r>
        <w:rPr>
          <w:b/>
        </w:rPr>
        <w:t xml:space="preserve"> 510 Programi Unije</w:t>
      </w:r>
    </w:p>
    <w:p w:rsidR="000E6FBB" w:rsidRDefault="002B75C4">
      <w:r>
        <w:t xml:space="preserve">-projekti s izvora 51 i 52 u 2025. </w:t>
      </w:r>
      <w:proofErr w:type="gramStart"/>
      <w:r>
        <w:t>godini</w:t>
      </w:r>
      <w:proofErr w:type="gramEnd"/>
      <w:r>
        <w:t xml:space="preserve"> prilagođeni novom načinu evidentiranja i novim oznakama izvora financiranja za praćenje EU sredstava u 20</w:t>
      </w:r>
      <w:r>
        <w:t xml:space="preserve">26. </w:t>
      </w:r>
      <w:proofErr w:type="gramStart"/>
      <w:r>
        <w:t>godini</w:t>
      </w:r>
      <w:proofErr w:type="gramEnd"/>
    </w:p>
    <w:p w:rsidR="000E6FBB" w:rsidRDefault="000E6FBB"/>
    <w:sectPr w:rsidR="000E6FBB" w:rsidSect="002B75C4">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BB"/>
    <w:rsid w:val="000E6FBB"/>
    <w:rsid w:val="002B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96F7D-6512-418D-87BD-F28CEEE0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 Mirković Pavlović</cp:lastModifiedBy>
  <cp:revision>2</cp:revision>
  <dcterms:created xsi:type="dcterms:W3CDTF">2026-02-02T12:54:00Z</dcterms:created>
  <dcterms:modified xsi:type="dcterms:W3CDTF">2026-02-02T12:54:00Z</dcterms:modified>
</cp:coreProperties>
</file>